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3"/>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asciiTheme="minorEastAsia" w:hAnsiTheme="minorEastAsia" w:eastAsiaTheme="minorEastAsia" w:cstheme="minorEastAsia"/>
          <w:color w:val="auto"/>
          <w:kern w:val="2"/>
          <w:sz w:val="44"/>
          <w:szCs w:val="44"/>
          <w:lang w:val="en-US" w:eastAsia="zh-CN" w:bidi="ar-SA"/>
        </w:rPr>
      </w:pPr>
      <w:r>
        <w:rPr>
          <w:rFonts w:hint="default" w:asciiTheme="minorEastAsia" w:hAnsiTheme="minorEastAsia" w:eastAsiaTheme="minorEastAsia" w:cstheme="minorEastAsia"/>
          <w:color w:val="auto"/>
          <w:kern w:val="2"/>
          <w:sz w:val="44"/>
          <w:szCs w:val="44"/>
          <w:lang w:val="en-US" w:eastAsia="zh-CN" w:bidi="ar-SA"/>
        </w:rPr>
        <w:t>广东省中新广州知识城管理委员会</w:t>
      </w:r>
    </w:p>
    <w:p>
      <w:pPr>
        <w:pStyle w:val="3"/>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lang w:val="en-US" w:eastAsia="zh-CN"/>
        </w:rPr>
      </w:pPr>
      <w:r>
        <w:rPr>
          <w:rFonts w:hint="default" w:asciiTheme="minorEastAsia" w:hAnsiTheme="minorEastAsia" w:eastAsiaTheme="minorEastAsia" w:cstheme="minorEastAsia"/>
          <w:color w:val="auto"/>
          <w:kern w:val="2"/>
          <w:sz w:val="44"/>
          <w:szCs w:val="44"/>
          <w:lang w:val="en-US" w:eastAsia="zh-CN" w:bidi="ar-SA"/>
        </w:rPr>
        <w:t>行使省级行政管理职权规定</w:t>
      </w:r>
    </w:p>
    <w:p>
      <w:pPr>
        <w:pStyle w:val="2"/>
        <w:rPr>
          <w:rFonts w:hint="eastAsia" w:ascii="楷体_GB2312" w:hAnsi="楷体_GB2312" w:eastAsia="楷体_GB2312" w:cs="楷体_GB2312"/>
          <w:i w:val="0"/>
          <w:caps w:val="0"/>
          <w:color w:val="333333"/>
          <w:spacing w:val="0"/>
          <w:kern w:val="2"/>
          <w:sz w:val="32"/>
          <w:szCs w:val="32"/>
          <w:u w:val="none"/>
          <w:shd w:val="clear" w:fill="FFFFFF"/>
          <w:lang w:val="en-US" w:eastAsia="zh-CN" w:bidi="ar-SA"/>
        </w:rPr>
      </w:pPr>
      <w:r>
        <w:rPr>
          <w:rFonts w:hint="eastAsia" w:ascii="楷体_GB2312" w:hAnsi="楷体_GB2312" w:eastAsia="楷体_GB2312" w:cs="楷体_GB2312"/>
          <w:i w:val="0"/>
          <w:caps w:val="0"/>
          <w:color w:val="333333"/>
          <w:spacing w:val="0"/>
          <w:kern w:val="2"/>
          <w:sz w:val="32"/>
          <w:szCs w:val="32"/>
          <w:u w:val="none"/>
          <w:shd w:val="clear" w:fill="FFFFFF"/>
          <w:lang w:val="en-US" w:eastAsia="zh-CN" w:bidi="ar-SA"/>
        </w:rPr>
        <w:t>（2012年9月14日广东省人民政府令第174号公布 自2012年10月15日起施行）</w:t>
      </w:r>
    </w:p>
    <w:p>
      <w:pPr>
        <w:pStyle w:val="2"/>
        <w:spacing w:line="240" w:lineRule="auto"/>
        <w:ind w:left="0" w:leftChars="0" w:firstLine="0" w:firstLineChars="0"/>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第一条</w:t>
      </w:r>
      <w:r>
        <w:rPr>
          <w:rFonts w:hint="eastAsia"/>
          <w:lang w:val="en-US" w:eastAsia="zh-CN"/>
        </w:rPr>
        <w:t>　为了规范中新广州知识城管理委员会（以下简称知识城管委会）行使部分省级行政管理职权的行为，促进中新广州知识城科学发展，根据《中华人民共和国行政许可法》、《广东省实施珠江三角洲地区改革发展规划纲要保障条例》、《广东省行政复议工作规定》和有关法律、法规，结合本省实际，制定本规定。</w:t>
      </w:r>
    </w:p>
    <w:p>
      <w:pPr>
        <w:pStyle w:val="2"/>
        <w:spacing w:line="240" w:lineRule="auto"/>
        <w:rPr>
          <w:rFonts w:hint="eastAsia"/>
          <w:lang w:val="en-US" w:eastAsia="zh-CN"/>
        </w:rPr>
      </w:pPr>
      <w:r>
        <w:rPr>
          <w:rFonts w:hint="eastAsia" w:ascii="黑体" w:hAnsi="黑体" w:eastAsia="黑体" w:cs="黑体"/>
          <w:lang w:val="en-US" w:eastAsia="zh-CN"/>
        </w:rPr>
        <w:t>第二条</w:t>
      </w:r>
      <w:r>
        <w:rPr>
          <w:rFonts w:hint="eastAsia"/>
          <w:lang w:val="en-US" w:eastAsia="zh-CN"/>
        </w:rPr>
        <w:t>　知识城管委会行使省人民政府及其部门下放或者委托（以下统称调整）的行政管理职权，适用本规定。</w:t>
      </w:r>
    </w:p>
    <w:p>
      <w:pPr>
        <w:pStyle w:val="2"/>
        <w:spacing w:line="240" w:lineRule="auto"/>
        <w:rPr>
          <w:rFonts w:hint="eastAsia"/>
          <w:lang w:val="en-US" w:eastAsia="zh-CN"/>
        </w:rPr>
      </w:pPr>
      <w:r>
        <w:rPr>
          <w:rFonts w:hint="eastAsia" w:ascii="黑体" w:hAnsi="黑体" w:eastAsia="黑体" w:cs="黑体"/>
          <w:lang w:val="en-US" w:eastAsia="zh-CN"/>
        </w:rPr>
        <w:t>第三条</w:t>
      </w:r>
      <w:r>
        <w:rPr>
          <w:rFonts w:hint="eastAsia"/>
          <w:lang w:val="en-US" w:eastAsia="zh-CN"/>
        </w:rPr>
        <w:t>　省人民政府有关部门应当按照本规定，将相关行政管理职权调整由知识城管委会行使，并对知识城管委会行使相关职权的行为予以指导和监督。</w:t>
      </w:r>
    </w:p>
    <w:p>
      <w:pPr>
        <w:pStyle w:val="2"/>
        <w:spacing w:line="240" w:lineRule="auto"/>
        <w:rPr>
          <w:rFonts w:hint="eastAsia"/>
          <w:lang w:val="en-US" w:eastAsia="zh-CN"/>
        </w:rPr>
      </w:pPr>
      <w:r>
        <w:rPr>
          <w:rFonts w:hint="eastAsia"/>
          <w:lang w:val="en-US" w:eastAsia="zh-CN"/>
        </w:rPr>
        <w:t>省机构编制、监察、法制等部门按照各自职责做好相关工作。</w:t>
      </w:r>
    </w:p>
    <w:p>
      <w:pPr>
        <w:pStyle w:val="2"/>
        <w:spacing w:line="240" w:lineRule="auto"/>
        <w:rPr>
          <w:rFonts w:hint="eastAsia"/>
          <w:lang w:val="en-US" w:eastAsia="zh-CN"/>
        </w:rPr>
      </w:pPr>
      <w:r>
        <w:rPr>
          <w:rFonts w:hint="eastAsia" w:ascii="黑体" w:hAnsi="黑体" w:eastAsia="黑体" w:cs="黑体"/>
          <w:lang w:val="en-US" w:eastAsia="zh-CN"/>
        </w:rPr>
        <w:t>第四条</w:t>
      </w:r>
      <w:r>
        <w:rPr>
          <w:rFonts w:hint="eastAsia"/>
          <w:lang w:val="en-US" w:eastAsia="zh-CN"/>
        </w:rPr>
        <w:t>　知识城管委会应当依照法律、法规和规章的规定，建立健全行使省级行政管理职权的具体程序制度，实行行政执法责任制。</w:t>
      </w:r>
    </w:p>
    <w:p>
      <w:pPr>
        <w:pStyle w:val="2"/>
        <w:spacing w:line="240" w:lineRule="auto"/>
        <w:rPr>
          <w:rFonts w:hint="eastAsia"/>
          <w:lang w:val="en-US" w:eastAsia="zh-CN"/>
        </w:rPr>
      </w:pPr>
      <w:r>
        <w:rPr>
          <w:rFonts w:hint="eastAsia" w:ascii="黑体" w:hAnsi="黑体" w:eastAsia="黑体" w:cs="黑体"/>
          <w:lang w:val="en-US" w:eastAsia="zh-CN"/>
        </w:rPr>
        <w:t>第五条</w:t>
      </w:r>
      <w:r>
        <w:rPr>
          <w:rFonts w:hint="eastAsia"/>
          <w:lang w:val="en-US" w:eastAsia="zh-CN"/>
        </w:rPr>
        <w:t>　法律、法规、规章规定由省人民政府及其部门行使的经济调节、市场监管、社会管理、公共服务等行政管理职权，除确需由省级行政机关统一协调管理的事项外，可以依照本规定调整由知识城管委会行使。</w:t>
      </w:r>
    </w:p>
    <w:p>
      <w:pPr>
        <w:pStyle w:val="2"/>
        <w:spacing w:line="240" w:lineRule="auto"/>
        <w:rPr>
          <w:rFonts w:hint="eastAsia"/>
          <w:lang w:val="en-US" w:eastAsia="zh-CN"/>
        </w:rPr>
      </w:pPr>
      <w:r>
        <w:rPr>
          <w:rFonts w:hint="eastAsia" w:ascii="黑体" w:hAnsi="黑体" w:eastAsia="黑体" w:cs="黑体"/>
          <w:lang w:val="en-US" w:eastAsia="zh-CN"/>
        </w:rPr>
        <w:t>第六条</w:t>
      </w:r>
      <w:r>
        <w:rPr>
          <w:rFonts w:hint="eastAsia"/>
          <w:lang w:val="en-US" w:eastAsia="zh-CN"/>
        </w:rPr>
        <w:t>　省人民政府根据国务院关于《珠江三角洲地区改革发展规划纲要（2008—2020年）》的批复，可以决定知识城管委会行使行政法规和部门规章规定由省人民政府及其部门行使的部分行政管理职权。</w:t>
      </w:r>
    </w:p>
    <w:p>
      <w:pPr>
        <w:pStyle w:val="2"/>
        <w:spacing w:line="240" w:lineRule="auto"/>
        <w:rPr>
          <w:rFonts w:hint="eastAsia"/>
          <w:lang w:val="en-US" w:eastAsia="zh-CN"/>
        </w:rPr>
      </w:pPr>
      <w:r>
        <w:rPr>
          <w:rFonts w:hint="eastAsia" w:ascii="黑体" w:hAnsi="黑体" w:eastAsia="黑体" w:cs="黑体"/>
          <w:lang w:val="en-US" w:eastAsia="zh-CN"/>
        </w:rPr>
        <w:t>第七条</w:t>
      </w:r>
      <w:r>
        <w:rPr>
          <w:rFonts w:hint="eastAsia"/>
          <w:lang w:val="en-US" w:eastAsia="zh-CN"/>
        </w:rPr>
        <w:t>　省人民政府根据《广东省实施珠江三角洲地区改革发展规划纲要保障条例》的规定，可以决定知识城管委会行使地方性法规规定由省人民政府及其部门行使的部分行政管理职权。</w:t>
      </w:r>
    </w:p>
    <w:p>
      <w:pPr>
        <w:pStyle w:val="2"/>
        <w:spacing w:line="240" w:lineRule="auto"/>
        <w:rPr>
          <w:rFonts w:hint="eastAsia"/>
          <w:lang w:val="en-US" w:eastAsia="zh-CN"/>
        </w:rPr>
      </w:pPr>
      <w:r>
        <w:rPr>
          <w:rFonts w:hint="eastAsia" w:ascii="黑体" w:hAnsi="黑体" w:eastAsia="黑体" w:cs="黑体"/>
          <w:lang w:val="en-US" w:eastAsia="zh-CN"/>
        </w:rPr>
        <w:t>第八条</w:t>
      </w:r>
      <w:r>
        <w:rPr>
          <w:rFonts w:hint="eastAsia"/>
          <w:lang w:val="en-US" w:eastAsia="zh-CN"/>
        </w:rPr>
        <w:t>　经省人民政府批准，知识城管委会可以行使省政府规章和规范性文件规定由省人民政府及其部门行使的部分行政管理职权。</w:t>
      </w:r>
    </w:p>
    <w:p>
      <w:pPr>
        <w:pStyle w:val="2"/>
        <w:spacing w:line="240" w:lineRule="auto"/>
        <w:rPr>
          <w:rFonts w:hint="eastAsia"/>
          <w:lang w:val="en-US" w:eastAsia="zh-CN"/>
        </w:rPr>
      </w:pPr>
      <w:r>
        <w:rPr>
          <w:rFonts w:hint="eastAsia" w:ascii="黑体" w:hAnsi="黑体" w:eastAsia="黑体" w:cs="黑体"/>
          <w:lang w:val="en-US" w:eastAsia="zh-CN"/>
        </w:rPr>
        <w:t>第九条</w:t>
      </w:r>
      <w:r>
        <w:rPr>
          <w:rFonts w:hint="eastAsia"/>
          <w:lang w:val="en-US" w:eastAsia="zh-CN"/>
        </w:rPr>
        <w:t>　省人民政府及其部门可以根据本规定，将法律、法规、规章规定由其行使的部分行政管理职权委托知识城管委会行使。</w:t>
      </w:r>
    </w:p>
    <w:p>
      <w:pPr>
        <w:pStyle w:val="2"/>
        <w:spacing w:line="240" w:lineRule="auto"/>
        <w:rPr>
          <w:rFonts w:hint="eastAsia"/>
          <w:lang w:val="en-US" w:eastAsia="zh-CN"/>
        </w:rPr>
      </w:pPr>
      <w:r>
        <w:rPr>
          <w:rFonts w:hint="eastAsia" w:ascii="黑体" w:hAnsi="黑体" w:eastAsia="黑体" w:cs="黑体"/>
          <w:lang w:val="en-US" w:eastAsia="zh-CN"/>
        </w:rPr>
        <w:t>第十条</w:t>
      </w:r>
      <w:r>
        <w:rPr>
          <w:rFonts w:hint="eastAsia"/>
          <w:lang w:val="en-US" w:eastAsia="zh-CN"/>
        </w:rPr>
        <w:t>　原须经广州市人民政府或者其部门审核后报省人民政府或者其部门审批（核准）的事项，已经调整由知识城管委会行使的，知识城管委会可以直接报省人民政府或者其部门审批（核准），并报广州市人民政府或者其部门备案。</w:t>
      </w:r>
    </w:p>
    <w:p>
      <w:pPr>
        <w:pStyle w:val="2"/>
        <w:spacing w:line="240" w:lineRule="auto"/>
        <w:rPr>
          <w:rFonts w:hint="eastAsia"/>
          <w:lang w:val="en-US" w:eastAsia="zh-CN"/>
        </w:rPr>
      </w:pPr>
      <w:r>
        <w:rPr>
          <w:rFonts w:hint="eastAsia" w:ascii="黑体" w:hAnsi="黑体" w:eastAsia="黑体" w:cs="黑体"/>
          <w:lang w:val="en-US" w:eastAsia="zh-CN"/>
        </w:rPr>
        <w:t>第十一条</w:t>
      </w:r>
      <w:r>
        <w:rPr>
          <w:rFonts w:hint="eastAsia"/>
          <w:lang w:val="en-US" w:eastAsia="zh-CN"/>
        </w:rPr>
        <w:t>　根据知识城改革发展的需要，知识城管委会可以分期分批提出拟调整由知识城管委会行使的省级行政管理职权目录，由广州市人民政府核报省人民政府批准。</w:t>
      </w:r>
    </w:p>
    <w:p>
      <w:pPr>
        <w:pStyle w:val="2"/>
        <w:spacing w:line="240" w:lineRule="auto"/>
        <w:rPr>
          <w:rFonts w:hint="eastAsia"/>
          <w:lang w:val="en-US" w:eastAsia="zh-CN"/>
        </w:rPr>
      </w:pPr>
      <w:r>
        <w:rPr>
          <w:rFonts w:hint="eastAsia"/>
          <w:lang w:val="en-US" w:eastAsia="zh-CN"/>
        </w:rPr>
        <w:t>省负责行政审批制度改革的部门或者省人民政府法制机构亦可根据实际需要，分期分批提出拟调整由知识城管委会行使的省级行政管理职权目录，报省人民政府批准。</w:t>
      </w:r>
    </w:p>
    <w:p>
      <w:pPr>
        <w:pStyle w:val="2"/>
        <w:spacing w:line="240" w:lineRule="auto"/>
        <w:rPr>
          <w:rFonts w:hint="eastAsia"/>
          <w:lang w:val="en-US" w:eastAsia="zh-CN"/>
        </w:rPr>
      </w:pPr>
      <w:r>
        <w:rPr>
          <w:rFonts w:hint="eastAsia"/>
          <w:lang w:val="en-US" w:eastAsia="zh-CN"/>
        </w:rPr>
        <w:t>省人民政府有关部门、知识城管委会可以根据实际需要，提请省人民政府变更已调整由知识城管委会行使的省级行政管理职权目录。</w:t>
      </w:r>
    </w:p>
    <w:p>
      <w:pPr>
        <w:pStyle w:val="2"/>
        <w:spacing w:line="240" w:lineRule="auto"/>
        <w:rPr>
          <w:rFonts w:hint="eastAsia"/>
          <w:lang w:val="en-US" w:eastAsia="zh-CN"/>
        </w:rPr>
      </w:pPr>
      <w:r>
        <w:rPr>
          <w:rFonts w:hint="eastAsia" w:ascii="黑体" w:hAnsi="黑体" w:eastAsia="黑体" w:cs="黑体"/>
          <w:lang w:val="en-US" w:eastAsia="zh-CN"/>
        </w:rPr>
        <w:t>第十二条</w:t>
      </w:r>
      <w:r>
        <w:rPr>
          <w:rFonts w:hint="eastAsia"/>
          <w:lang w:val="en-US" w:eastAsia="zh-CN"/>
        </w:rPr>
        <w:t>　省人民政府批准调整或者变更由知识城管委会行使的省级行政管理职权目录，应当以政府令的形式予以公布。</w:t>
      </w:r>
    </w:p>
    <w:p>
      <w:pPr>
        <w:pStyle w:val="2"/>
        <w:spacing w:line="240" w:lineRule="auto"/>
        <w:rPr>
          <w:rFonts w:hint="eastAsia"/>
          <w:lang w:val="en-US" w:eastAsia="zh-CN"/>
        </w:rPr>
      </w:pPr>
      <w:r>
        <w:rPr>
          <w:rFonts w:hint="eastAsia" w:ascii="黑体" w:hAnsi="黑体" w:eastAsia="黑体" w:cs="黑体"/>
          <w:lang w:val="en-US" w:eastAsia="zh-CN"/>
        </w:rPr>
        <w:t>第十三条</w:t>
      </w:r>
      <w:r>
        <w:rPr>
          <w:rFonts w:hint="eastAsia"/>
          <w:lang w:val="en-US" w:eastAsia="zh-CN"/>
        </w:rPr>
        <w:t>　省级行政管理职权调整由知识城管委会行使的，省人民政府有关部门应当支持指导知识城管委会规范相关法律文书。</w:t>
      </w:r>
    </w:p>
    <w:p>
      <w:pPr>
        <w:pStyle w:val="2"/>
        <w:spacing w:line="240" w:lineRule="auto"/>
        <w:rPr>
          <w:rFonts w:hint="eastAsia"/>
          <w:lang w:val="en-US" w:eastAsia="zh-CN"/>
        </w:rPr>
      </w:pPr>
      <w:r>
        <w:rPr>
          <w:rFonts w:hint="eastAsia"/>
          <w:lang w:val="en-US" w:eastAsia="zh-CN"/>
        </w:rPr>
        <w:t>省级行政管理职权委托知识城管委会行使的，省人民政府有关部门应当自调整职权目录公布之日起30日内办理委托手续，并刻制业务专用印章交由知识城管委会使用。</w:t>
      </w:r>
    </w:p>
    <w:p>
      <w:pPr>
        <w:pStyle w:val="2"/>
        <w:spacing w:line="240" w:lineRule="auto"/>
        <w:rPr>
          <w:rFonts w:hint="eastAsia"/>
          <w:lang w:val="en-US" w:eastAsia="zh-CN"/>
        </w:rPr>
      </w:pPr>
      <w:r>
        <w:rPr>
          <w:rFonts w:hint="eastAsia" w:ascii="黑体" w:hAnsi="黑体" w:eastAsia="黑体" w:cs="黑体"/>
          <w:lang w:val="en-US" w:eastAsia="zh-CN"/>
        </w:rPr>
        <w:t>第十四条</w:t>
      </w:r>
      <w:r>
        <w:rPr>
          <w:rFonts w:hint="eastAsia"/>
          <w:lang w:val="en-US" w:eastAsia="zh-CN"/>
        </w:rPr>
        <w:t>　知识城管委会应当建立和完善政府信息公开制度，通过办公场所、新闻媒体或者政务网站，将知识城管委会负责实施的省级行政管理职权项目、实施依据、实施机构、实施程序等信息向社会公示；涉及行政许可、非行政许可类审批（核准）的，应将许可、审批（核准）的具体事项、办理条件、办理机构、办理程序、办理期限、收费标准、办理结果、监督机制等信息一并向社会公示。</w:t>
      </w:r>
    </w:p>
    <w:p>
      <w:pPr>
        <w:pStyle w:val="2"/>
        <w:spacing w:line="240" w:lineRule="auto"/>
        <w:rPr>
          <w:rFonts w:hint="eastAsia"/>
          <w:lang w:val="en-US" w:eastAsia="zh-CN"/>
        </w:rPr>
      </w:pPr>
      <w:r>
        <w:rPr>
          <w:rFonts w:hint="eastAsia" w:ascii="黑体" w:hAnsi="黑体" w:eastAsia="黑体" w:cs="黑体"/>
          <w:lang w:val="en-US" w:eastAsia="zh-CN"/>
        </w:rPr>
        <w:t>第十五条</w:t>
      </w:r>
      <w:r>
        <w:rPr>
          <w:rFonts w:hint="eastAsia"/>
          <w:lang w:val="en-US" w:eastAsia="zh-CN"/>
        </w:rPr>
        <w:t>　依法调整由知识城管委会实施的行政许可、非行政许可类审批（核准）事项，应当纳入行政审批电子监察系统。</w:t>
      </w:r>
    </w:p>
    <w:p>
      <w:pPr>
        <w:pStyle w:val="2"/>
        <w:spacing w:line="240" w:lineRule="auto"/>
        <w:rPr>
          <w:rFonts w:hint="eastAsia"/>
          <w:lang w:val="en-US" w:eastAsia="zh-CN"/>
        </w:rPr>
      </w:pPr>
      <w:r>
        <w:rPr>
          <w:rFonts w:hint="eastAsia" w:ascii="黑体" w:hAnsi="黑体" w:eastAsia="黑体" w:cs="黑体"/>
          <w:lang w:val="en-US" w:eastAsia="zh-CN"/>
        </w:rPr>
        <w:t>第十六条</w:t>
      </w:r>
      <w:r>
        <w:rPr>
          <w:rFonts w:hint="eastAsia"/>
          <w:lang w:val="en-US" w:eastAsia="zh-CN"/>
        </w:rPr>
        <w:t>　知识城管委会实施省人民政府及其部门依法委托的行政处罚、行政许可、非行政许可类审批等行政职权并作出行政决定的，应当自作出决定之日起7日内，将行政决定书及相关材料抄送委托机关备案。</w:t>
      </w:r>
    </w:p>
    <w:p>
      <w:pPr>
        <w:pStyle w:val="2"/>
        <w:spacing w:line="240" w:lineRule="auto"/>
        <w:rPr>
          <w:rFonts w:hint="eastAsia"/>
          <w:lang w:val="en-US" w:eastAsia="zh-CN"/>
        </w:rPr>
      </w:pPr>
      <w:r>
        <w:rPr>
          <w:rFonts w:hint="eastAsia" w:ascii="黑体" w:hAnsi="黑体" w:eastAsia="黑体" w:cs="黑体"/>
          <w:lang w:val="en-US" w:eastAsia="zh-CN"/>
        </w:rPr>
        <w:t>第十七条</w:t>
      </w:r>
      <w:r>
        <w:rPr>
          <w:rFonts w:hint="eastAsia"/>
          <w:lang w:val="en-US" w:eastAsia="zh-CN"/>
        </w:rPr>
        <w:t>　公民、法人或者其他组织对知识城管委会行使省人民政府或者其部门下放的省级行政管理职权的具体行政行为不服的，可以依法向广州市人民政府申请行政复议，或者依法向人民法院提起行政诉讼；对知识城管委会行使省人民政府或者其部门依法委托的省级行政管理职权的具体行政行为不服的，可以依法向省人民政府申请行政复议，或者依法向人民法院提起行政诉讼。</w:t>
      </w:r>
    </w:p>
    <w:p>
      <w:pPr>
        <w:pStyle w:val="2"/>
        <w:spacing w:line="240" w:lineRule="auto"/>
        <w:rPr>
          <w:rFonts w:hint="eastAsia"/>
          <w:lang w:val="en-US" w:eastAsia="zh-CN"/>
        </w:rPr>
      </w:pPr>
      <w:r>
        <w:rPr>
          <w:rFonts w:hint="eastAsia" w:ascii="黑体" w:hAnsi="黑体" w:eastAsia="黑体" w:cs="黑体"/>
          <w:lang w:val="en-US" w:eastAsia="zh-CN"/>
        </w:rPr>
        <w:t>第十八条</w:t>
      </w:r>
      <w:r>
        <w:rPr>
          <w:rFonts w:hint="eastAsia"/>
          <w:lang w:val="en-US" w:eastAsia="zh-CN"/>
        </w:rPr>
        <w:t>　省人民政府有关部门未按照本规定将相关行政管理职权调整由知识城管委会行使，或者未按照规定履行指导监督职责的，由省负责行政审批制度改革的部门或者省人民政府法制机构负责监督协调，必要时可以提请省人民政府责令改正；逾期不改正的，予以通报批评；情节严重的，对直接负责的主管人员和其他直接责任人员依法给予处分。</w:t>
      </w:r>
    </w:p>
    <w:p>
      <w:pPr>
        <w:pStyle w:val="2"/>
        <w:spacing w:line="240" w:lineRule="auto"/>
        <w:rPr>
          <w:rFonts w:hint="eastAsia"/>
          <w:lang w:val="en-US" w:eastAsia="zh-CN"/>
        </w:rPr>
      </w:pPr>
      <w:r>
        <w:rPr>
          <w:rFonts w:hint="eastAsia" w:ascii="黑体" w:hAnsi="黑体" w:eastAsia="黑体" w:cs="黑体"/>
          <w:lang w:val="en-US" w:eastAsia="zh-CN"/>
        </w:rPr>
        <w:t>第十九条</w:t>
      </w:r>
      <w:r>
        <w:rPr>
          <w:rFonts w:hint="eastAsia"/>
          <w:lang w:val="en-US" w:eastAsia="zh-CN"/>
        </w:rPr>
        <w:t>　知识城管委会未按照本规定行使省级行政管理职权的，由省人民政府或者其有关部门责令改正；逾期不改正的，由省人民政府予以通报批评；造成严重后果的，由省人民政府取消已经调整由其行使的行政管理职权，并对直接负责的主管人员和其他直接责任人员依法给予处分。</w:t>
      </w:r>
    </w:p>
    <w:p>
      <w:pPr>
        <w:pStyle w:val="2"/>
        <w:spacing w:line="240" w:lineRule="auto"/>
        <w:rPr>
          <w:rFonts w:hint="eastAsia"/>
          <w:lang w:val="en-US" w:eastAsia="zh-CN"/>
        </w:rPr>
      </w:pPr>
      <w:r>
        <w:rPr>
          <w:rFonts w:hint="eastAsia" w:ascii="黑体" w:hAnsi="黑体" w:eastAsia="黑体" w:cs="黑体"/>
          <w:lang w:val="en-US" w:eastAsia="zh-CN"/>
        </w:rPr>
        <w:t>第二十条</w:t>
      </w:r>
      <w:r>
        <w:rPr>
          <w:rFonts w:hint="eastAsia"/>
          <w:lang w:val="en-US" w:eastAsia="zh-CN"/>
        </w:rPr>
        <w:t>　本规定自2012年10月15日起施行。</w:t>
      </w: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C850999"/>
    <w:rsid w:val="0E487641"/>
    <w:rsid w:val="0EBE3B42"/>
    <w:rsid w:val="152D2DCA"/>
    <w:rsid w:val="167E367B"/>
    <w:rsid w:val="19C57EEB"/>
    <w:rsid w:val="1A6A2AAE"/>
    <w:rsid w:val="1B2A150D"/>
    <w:rsid w:val="1C4C3FC3"/>
    <w:rsid w:val="1DEC284C"/>
    <w:rsid w:val="1E6523AC"/>
    <w:rsid w:val="22440422"/>
    <w:rsid w:val="292E6AA8"/>
    <w:rsid w:val="31A15F24"/>
    <w:rsid w:val="395347B5"/>
    <w:rsid w:val="39A232A0"/>
    <w:rsid w:val="39E745AA"/>
    <w:rsid w:val="3B5A6BBB"/>
    <w:rsid w:val="3EDA13A6"/>
    <w:rsid w:val="414C6BCF"/>
    <w:rsid w:val="42310CF0"/>
    <w:rsid w:val="42F058B7"/>
    <w:rsid w:val="436109F6"/>
    <w:rsid w:val="441A38D4"/>
    <w:rsid w:val="4BC77339"/>
    <w:rsid w:val="4C9236C5"/>
    <w:rsid w:val="4ECF359B"/>
    <w:rsid w:val="505C172E"/>
    <w:rsid w:val="52F46F0B"/>
    <w:rsid w:val="53D8014D"/>
    <w:rsid w:val="55E064E0"/>
    <w:rsid w:val="572C6D10"/>
    <w:rsid w:val="5A5F3B68"/>
    <w:rsid w:val="5DC34279"/>
    <w:rsid w:val="5F230190"/>
    <w:rsid w:val="608816D1"/>
    <w:rsid w:val="60EF4E7F"/>
    <w:rsid w:val="62887FEF"/>
    <w:rsid w:val="65B462A4"/>
    <w:rsid w:val="665233C1"/>
    <w:rsid w:val="66B60DFF"/>
    <w:rsid w:val="69114E28"/>
    <w:rsid w:val="6AD9688B"/>
    <w:rsid w:val="6D0E3F22"/>
    <w:rsid w:val="6E0A5BA9"/>
    <w:rsid w:val="737536EF"/>
    <w:rsid w:val="78185F32"/>
    <w:rsid w:val="7B9A30AB"/>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spacing w:line="478" w:lineRule="exact"/>
      <w:jc w:val="center"/>
      <w:outlineLvl w:val="0"/>
    </w:pPr>
    <w:rPr>
      <w:rFonts w:hint="eastAsia" w:ascii="宋体" w:hAnsi="宋体" w:eastAsia="方正小标宋简体" w:cs="Times New Roman"/>
      <w:kern w:val="44"/>
      <w:sz w:val="40"/>
      <w:szCs w:val="48"/>
    </w:rPr>
  </w:style>
  <w:style w:type="paragraph" w:styleId="4">
    <w:name w:val="heading 2"/>
    <w:basedOn w:val="1"/>
    <w:next w:val="1"/>
    <w:unhideWhenUsed/>
    <w:qFormat/>
    <w:uiPriority w:val="0"/>
    <w:pPr>
      <w:keepNext/>
      <w:keepLines/>
      <w:spacing w:line="478" w:lineRule="exact"/>
      <w:outlineLvl w:val="1"/>
    </w:pPr>
    <w:rPr>
      <w:rFonts w:ascii="Arial" w:hAnsi="Arial" w:eastAsia="楷体_GB2312"/>
      <w:sz w:val="28"/>
      <w:szCs w:val="20"/>
    </w:rPr>
  </w:style>
  <w:style w:type="character" w:default="1" w:styleId="9">
    <w:name w:val="Default Paragraph Font"/>
    <w:link w:val="10"/>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Char Char Char Char Char Char Char Char Char Char Char Char"/>
    <w:basedOn w:val="11"/>
    <w:link w:val="9"/>
    <w:qFormat/>
    <w:uiPriority w:val="0"/>
    <w:pPr>
      <w:widowControl/>
      <w:spacing w:after="160" w:afterLines="0" w:line="240" w:lineRule="exact"/>
      <w:jc w:val="left"/>
    </w:pPr>
  </w:style>
  <w:style w:type="paragraph" w:customStyle="1" w:styleId="1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12">
    <w:name w:val="Hyperlink"/>
    <w:basedOn w:val="9"/>
    <w:unhideWhenUsed/>
    <w:qFormat/>
    <w:uiPriority w:val="0"/>
    <w:rPr>
      <w:color w:val="333333"/>
      <w:u w:val="none"/>
    </w:rPr>
  </w:style>
  <w:style w:type="paragraph" w:customStyle="1" w:styleId="13">
    <w:name w:val="省级二级标题"/>
    <w:basedOn w:val="4"/>
    <w:qFormat/>
    <w:uiPriority w:val="0"/>
    <w:pPr>
      <w:jc w:val="center"/>
    </w:pPr>
    <w:rPr>
      <w:rFonts w:ascii="Cambria" w:hAnsi="Cambria" w:eastAsia="黑体" w:cs="Times New Roman"/>
      <w:bCs/>
      <w:szCs w:val="32"/>
    </w:rPr>
  </w:style>
  <w:style w:type="character" w:customStyle="1" w:styleId="14">
    <w:name w:val="font_fulltext1"/>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8160</Words>
  <Characters>8179</Characters>
  <Lines>1</Lines>
  <Paragraphs>1</Paragraphs>
  <TotalTime>49</TotalTime>
  <ScaleCrop>false</ScaleCrop>
  <LinksUpToDate>false</LinksUpToDate>
  <CharactersWithSpaces>8243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DDZA10453</cp:lastModifiedBy>
  <cp:lastPrinted>2021-10-26T03:30:00Z</cp:lastPrinted>
  <dcterms:modified xsi:type="dcterms:W3CDTF">2021-12-08T07:46:52Z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48C61CB29D3F4D9384F5922CF0F7FFB4</vt:lpwstr>
  </property>
</Properties>
</file>