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bidi w:val="0"/>
        <w:jc w:val="center"/>
        <w:rPr>
          <w:rFonts w:hint="eastAsia" w:asciiTheme="minorEastAsia" w:hAnsiTheme="minorEastAsia" w:eastAsiaTheme="minorEastAsia" w:cstheme="minorEastAsia"/>
          <w:sz w:val="44"/>
          <w:szCs w:val="44"/>
          <w:lang w:val="en-US" w:eastAsia="zh-CN"/>
        </w:rPr>
      </w:pPr>
    </w:p>
    <w:p>
      <w:pPr>
        <w:keepNext w:val="0"/>
        <w:keepLines w:val="0"/>
        <w:pageBreakBefore w:val="0"/>
        <w:widowControl w:val="0"/>
        <w:kinsoku/>
        <w:wordWrap/>
        <w:overflowPunct/>
        <w:topLinePunct w:val="0"/>
        <w:autoSpaceDE/>
        <w:autoSpaceDN/>
        <w:bidi w:val="0"/>
        <w:adjustRightInd/>
        <w:snapToGrid/>
        <w:textAlignment w:val="auto"/>
        <w:rPr>
          <w:rFonts w:hint="eastAsia" w:ascii="仿宋_GB2312" w:hAnsi="仿宋_GB2312" w:eastAsia="仿宋_GB2312" w:cs="仿宋_GB2312"/>
          <w:i w:val="0"/>
          <w:caps w:val="0"/>
          <w:color w:val="333333"/>
          <w:spacing w:val="0"/>
          <w:sz w:val="32"/>
          <w:szCs w:val="32"/>
          <w:shd w:val="clear" w:fill="FFFFFF"/>
          <w:lang w:val="en-US" w:eastAsia="zh-CN"/>
        </w:rPr>
      </w:pPr>
    </w:p>
    <w:p>
      <w:pPr>
        <w:pStyle w:val="3"/>
        <w:keepNext w:val="0"/>
        <w:keepLines w:val="0"/>
        <w:pageBreakBefore w:val="0"/>
        <w:widowControl w:val="0"/>
        <w:kinsoku/>
        <w:wordWrap/>
        <w:overflowPunct/>
        <w:topLinePunct w:val="0"/>
        <w:autoSpaceDE/>
        <w:autoSpaceDN/>
        <w:bidi w:val="0"/>
        <w:adjustRightInd/>
        <w:snapToGrid/>
        <w:spacing w:beforeLines="0" w:afterLines="0" w:line="240" w:lineRule="auto"/>
        <w:textAlignment w:val="auto"/>
        <w:rPr>
          <w:rFonts w:hint="eastAsia"/>
          <w:lang w:val="en-US" w:eastAsia="zh-CN"/>
        </w:rPr>
      </w:pPr>
      <w:r>
        <w:rPr>
          <w:rFonts w:hint="default" w:asciiTheme="minorEastAsia" w:hAnsiTheme="minorEastAsia" w:eastAsiaTheme="minorEastAsia" w:cstheme="minorEastAsia"/>
          <w:color w:val="auto"/>
          <w:kern w:val="2"/>
          <w:sz w:val="44"/>
          <w:szCs w:val="44"/>
          <w:lang w:val="en-US" w:eastAsia="zh-CN" w:bidi="ar-SA"/>
        </w:rPr>
        <w:t>广东省小水电管理办法</w:t>
      </w:r>
    </w:p>
    <w:p>
      <w:pPr>
        <w:pStyle w:val="2"/>
        <w:rPr>
          <w:rFonts w:hint="eastAsia" w:ascii="楷体_GB2312" w:hAnsi="楷体_GB2312" w:eastAsia="楷体_GB2312" w:cs="楷体_GB2312"/>
          <w:i w:val="0"/>
          <w:caps w:val="0"/>
          <w:color w:val="333333"/>
          <w:spacing w:val="0"/>
          <w:kern w:val="2"/>
          <w:sz w:val="32"/>
          <w:szCs w:val="32"/>
          <w:u w:val="none"/>
          <w:shd w:val="clear" w:fill="FFFFFF"/>
          <w:lang w:val="en-US" w:eastAsia="zh-CN" w:bidi="ar-SA"/>
        </w:rPr>
      </w:pPr>
      <w:r>
        <w:rPr>
          <w:rFonts w:hint="eastAsia" w:ascii="楷体_GB2312" w:hAnsi="楷体_GB2312" w:eastAsia="楷体_GB2312" w:cs="楷体_GB2312"/>
          <w:i w:val="0"/>
          <w:caps w:val="0"/>
          <w:color w:val="333333"/>
          <w:spacing w:val="0"/>
          <w:kern w:val="2"/>
          <w:sz w:val="32"/>
          <w:szCs w:val="32"/>
          <w:u w:val="none"/>
          <w:shd w:val="clear" w:fill="FFFFFF"/>
          <w:lang w:val="en-US" w:eastAsia="zh-CN" w:bidi="ar-SA"/>
        </w:rPr>
        <w:t>（2010年11月16日广东省人民政府令第152号公布 根据2024年1月16日广东省人民政府令第310号修订</w:t>
      </w:r>
      <w:bookmarkStart w:id="0" w:name="_GoBack"/>
      <w:bookmarkEnd w:id="0"/>
      <w:r>
        <w:rPr>
          <w:rFonts w:hint="eastAsia" w:ascii="楷体_GB2312" w:hAnsi="楷体_GB2312" w:eastAsia="楷体_GB2312" w:cs="楷体_GB2312"/>
          <w:i w:val="0"/>
          <w:caps w:val="0"/>
          <w:color w:val="333333"/>
          <w:spacing w:val="0"/>
          <w:kern w:val="2"/>
          <w:sz w:val="32"/>
          <w:szCs w:val="32"/>
          <w:u w:val="none"/>
          <w:shd w:val="clear" w:fill="FFFFFF"/>
          <w:lang w:val="en-US" w:eastAsia="zh-CN" w:bidi="ar-SA"/>
        </w:rPr>
        <w:t>）</w:t>
      </w:r>
    </w:p>
    <w:p>
      <w:pPr>
        <w:pStyle w:val="2"/>
        <w:spacing w:line="240" w:lineRule="auto"/>
        <w:rPr>
          <w:rFonts w:hint="eastAsia"/>
          <w:lang w:val="en-US" w:eastAsia="zh-CN"/>
        </w:rPr>
      </w:pPr>
    </w:p>
    <w:p>
      <w:pPr>
        <w:pStyle w:val="2"/>
        <w:spacing w:line="240" w:lineRule="auto"/>
        <w:ind w:left="0" w:leftChars="0" w:firstLine="0" w:firstLineChars="0"/>
        <w:jc w:val="center"/>
        <w:rPr>
          <w:rFonts w:hint="eastAsia" w:ascii="黑体" w:hAnsi="黑体" w:eastAsia="黑体" w:cs="黑体"/>
          <w:lang w:val="en-US" w:eastAsia="zh-CN"/>
        </w:rPr>
      </w:pPr>
      <w:r>
        <w:rPr>
          <w:rFonts w:hint="eastAsia" w:ascii="黑体" w:hAnsi="黑体" w:eastAsia="黑体" w:cs="黑体"/>
          <w:lang w:val="en-US" w:eastAsia="zh-CN"/>
        </w:rPr>
        <w:t>第一章　总　则</w:t>
      </w:r>
    </w:p>
    <w:p>
      <w:pPr>
        <w:pStyle w:val="2"/>
        <w:spacing w:line="240" w:lineRule="auto"/>
        <w:rPr>
          <w:rFonts w:hint="eastAsia"/>
          <w:lang w:val="en-US" w:eastAsia="zh-CN"/>
        </w:rPr>
      </w:pPr>
    </w:p>
    <w:p>
      <w:pPr>
        <w:pStyle w:val="2"/>
        <w:spacing w:line="240" w:lineRule="auto"/>
        <w:rPr>
          <w:rFonts w:hint="eastAsia"/>
          <w:lang w:val="en-US" w:eastAsia="zh-CN"/>
        </w:rPr>
      </w:pPr>
      <w:r>
        <w:rPr>
          <w:rFonts w:hint="eastAsia" w:ascii="黑体" w:hAnsi="黑体" w:eastAsia="黑体" w:cs="黑体"/>
          <w:lang w:val="en-US" w:eastAsia="zh-CN"/>
        </w:rPr>
        <w:t>第一条</w:t>
      </w:r>
      <w:r>
        <w:rPr>
          <w:rFonts w:hint="eastAsia"/>
          <w:lang w:val="en-US" w:eastAsia="zh-CN"/>
        </w:rPr>
        <w:t>　为了科学合理地开发和利用水能资源，加强小水电监督管理，促进山区经济社会发展，根据《中华人民共和国水法》等相关法律法规，结合本省实际，制定本办法。</w:t>
      </w:r>
    </w:p>
    <w:p>
      <w:pPr>
        <w:pStyle w:val="2"/>
        <w:spacing w:line="240" w:lineRule="auto"/>
        <w:rPr>
          <w:rFonts w:hint="eastAsia"/>
          <w:lang w:val="en-US" w:eastAsia="zh-CN"/>
        </w:rPr>
      </w:pPr>
      <w:r>
        <w:rPr>
          <w:rFonts w:hint="eastAsia" w:ascii="黑体" w:hAnsi="黑体" w:eastAsia="黑体" w:cs="黑体"/>
          <w:lang w:val="en-US" w:eastAsia="zh-CN"/>
        </w:rPr>
        <w:t>第二条</w:t>
      </w:r>
      <w:r>
        <w:rPr>
          <w:rFonts w:hint="eastAsia"/>
          <w:lang w:val="en-US" w:eastAsia="zh-CN"/>
        </w:rPr>
        <w:t>　本办法适用于本省行政区域内装机容量5万千瓦及以下水电工程的开发、建设和管理。</w:t>
      </w:r>
    </w:p>
    <w:p>
      <w:pPr>
        <w:pStyle w:val="2"/>
        <w:spacing w:line="240" w:lineRule="auto"/>
        <w:rPr>
          <w:rFonts w:hint="eastAsia"/>
          <w:lang w:val="en-US" w:eastAsia="zh-CN"/>
        </w:rPr>
      </w:pPr>
      <w:r>
        <w:rPr>
          <w:rFonts w:hint="eastAsia" w:ascii="黑体" w:hAnsi="黑体" w:eastAsia="黑体" w:cs="黑体"/>
          <w:lang w:val="en-US" w:eastAsia="zh-CN"/>
        </w:rPr>
        <w:t>第三条</w:t>
      </w:r>
      <w:r>
        <w:rPr>
          <w:rFonts w:hint="eastAsia"/>
          <w:lang w:val="en-US" w:eastAsia="zh-CN"/>
        </w:rPr>
        <w:t>　省人民政府水行政主管部门是小水电的行业主管部门，负责小水电的监督管理，具体工作由其所属的小水电管理机构实施。</w:t>
      </w:r>
    </w:p>
    <w:p>
      <w:pPr>
        <w:pStyle w:val="2"/>
        <w:spacing w:line="240" w:lineRule="auto"/>
        <w:rPr>
          <w:rFonts w:hint="eastAsia"/>
          <w:lang w:val="en-US" w:eastAsia="zh-CN"/>
        </w:rPr>
      </w:pPr>
      <w:r>
        <w:rPr>
          <w:rFonts w:hint="eastAsia"/>
          <w:lang w:val="en-US" w:eastAsia="zh-CN"/>
        </w:rPr>
        <w:t>县级以上人民政府水行政主管部门负责本行政区域内的小水电监督管理工作，其他有关主管部门在各自职责内，履行相关管理工作。</w:t>
      </w:r>
    </w:p>
    <w:p>
      <w:pPr>
        <w:pStyle w:val="2"/>
        <w:spacing w:line="240" w:lineRule="auto"/>
        <w:rPr>
          <w:rFonts w:hint="eastAsia"/>
          <w:lang w:val="en-US" w:eastAsia="zh-CN"/>
        </w:rPr>
      </w:pPr>
      <w:r>
        <w:rPr>
          <w:rFonts w:hint="eastAsia" w:ascii="黑体" w:hAnsi="黑体" w:eastAsia="黑体" w:cs="黑体"/>
          <w:lang w:val="en-US" w:eastAsia="zh-CN"/>
        </w:rPr>
        <w:t>第四条</w:t>
      </w:r>
      <w:r>
        <w:rPr>
          <w:rFonts w:hint="eastAsia"/>
          <w:lang w:val="en-US" w:eastAsia="zh-CN"/>
        </w:rPr>
        <w:t>　各级人民政府应当加强对小水电监督管理工作的领导，支持小水电的发展，推动小水电的技术改造，保障小水电的安全生产运行。</w:t>
      </w:r>
    </w:p>
    <w:p>
      <w:pPr>
        <w:pStyle w:val="2"/>
        <w:spacing w:line="240" w:lineRule="auto"/>
        <w:rPr>
          <w:rFonts w:hint="eastAsia"/>
          <w:lang w:val="en-US" w:eastAsia="zh-CN"/>
        </w:rPr>
      </w:pPr>
      <w:r>
        <w:rPr>
          <w:rFonts w:hint="eastAsia" w:ascii="黑体" w:hAnsi="黑体" w:eastAsia="黑体" w:cs="黑体"/>
          <w:lang w:val="en-US" w:eastAsia="zh-CN"/>
        </w:rPr>
        <w:t>第五条</w:t>
      </w:r>
      <w:r>
        <w:rPr>
          <w:rFonts w:hint="eastAsia"/>
          <w:lang w:val="en-US" w:eastAsia="zh-CN"/>
        </w:rPr>
        <w:t>　各级水电行业协会应当接受水行政主管部门的指导，协助小水电进行生产安全自查，配合有关部门做好小水电的安全监督管理工作。</w:t>
      </w:r>
    </w:p>
    <w:p>
      <w:pPr>
        <w:pStyle w:val="2"/>
        <w:spacing w:line="240" w:lineRule="auto"/>
        <w:rPr>
          <w:rFonts w:hint="eastAsia"/>
          <w:lang w:val="en-US" w:eastAsia="zh-CN"/>
        </w:rPr>
      </w:pPr>
    </w:p>
    <w:p>
      <w:pPr>
        <w:pStyle w:val="2"/>
        <w:spacing w:line="240" w:lineRule="auto"/>
        <w:ind w:left="0" w:leftChars="0" w:firstLine="0" w:firstLineChars="0"/>
        <w:jc w:val="center"/>
        <w:rPr>
          <w:rFonts w:hint="eastAsia" w:ascii="黑体" w:hAnsi="黑体" w:eastAsia="黑体" w:cs="黑体"/>
          <w:lang w:val="en-US" w:eastAsia="zh-CN"/>
        </w:rPr>
      </w:pPr>
      <w:r>
        <w:rPr>
          <w:rFonts w:hint="eastAsia" w:ascii="黑体" w:hAnsi="黑体" w:eastAsia="黑体" w:cs="黑体"/>
          <w:lang w:val="en-US" w:eastAsia="zh-CN"/>
        </w:rPr>
        <w:t>第二章　规划与建设管理</w:t>
      </w:r>
    </w:p>
    <w:p>
      <w:pPr>
        <w:pStyle w:val="2"/>
        <w:spacing w:line="240" w:lineRule="auto"/>
        <w:rPr>
          <w:rFonts w:hint="eastAsia"/>
          <w:lang w:val="en-US" w:eastAsia="zh-CN"/>
        </w:rPr>
      </w:pPr>
    </w:p>
    <w:p>
      <w:pPr>
        <w:pStyle w:val="2"/>
        <w:spacing w:line="240" w:lineRule="auto"/>
        <w:rPr>
          <w:rFonts w:hint="eastAsia"/>
          <w:lang w:val="en-US" w:eastAsia="zh-CN"/>
        </w:rPr>
      </w:pPr>
      <w:r>
        <w:rPr>
          <w:rFonts w:hint="eastAsia" w:ascii="黑体" w:hAnsi="黑体" w:eastAsia="黑体" w:cs="黑体"/>
          <w:lang w:val="en-US" w:eastAsia="zh-CN"/>
        </w:rPr>
        <w:t>第六条</w:t>
      </w:r>
      <w:r>
        <w:rPr>
          <w:rFonts w:hint="eastAsia"/>
          <w:lang w:val="en-US" w:eastAsia="zh-CN"/>
        </w:rPr>
        <w:t>　小水电的开发利用应当符合水能资源开发规划。</w:t>
      </w:r>
    </w:p>
    <w:p>
      <w:pPr>
        <w:pStyle w:val="2"/>
        <w:spacing w:line="240" w:lineRule="auto"/>
        <w:rPr>
          <w:rFonts w:hint="eastAsia"/>
          <w:lang w:val="en-US" w:eastAsia="zh-CN"/>
        </w:rPr>
      </w:pPr>
      <w:r>
        <w:rPr>
          <w:rFonts w:hint="eastAsia"/>
          <w:lang w:val="en-US" w:eastAsia="zh-CN"/>
        </w:rPr>
        <w:t>禁止在自然保护区核心区、缓冲区、实验区建设小水电工程。</w:t>
      </w:r>
    </w:p>
    <w:p>
      <w:pPr>
        <w:pStyle w:val="2"/>
        <w:spacing w:line="240" w:lineRule="auto"/>
        <w:rPr>
          <w:rFonts w:hint="eastAsia"/>
          <w:lang w:val="en-US" w:eastAsia="zh-CN"/>
        </w:rPr>
      </w:pPr>
      <w:r>
        <w:rPr>
          <w:rFonts w:hint="eastAsia" w:ascii="黑体" w:hAnsi="黑体" w:eastAsia="黑体" w:cs="黑体"/>
          <w:lang w:val="en-US" w:eastAsia="zh-CN"/>
        </w:rPr>
        <w:t>第七条</w:t>
      </w:r>
      <w:r>
        <w:rPr>
          <w:rFonts w:hint="eastAsia"/>
          <w:lang w:val="en-US" w:eastAsia="zh-CN"/>
        </w:rPr>
        <w:t>　小水电建设项目初步设计报告应当由具有法定资质的设计单位编制。</w:t>
      </w:r>
    </w:p>
    <w:p>
      <w:pPr>
        <w:pStyle w:val="2"/>
        <w:spacing w:line="240" w:lineRule="auto"/>
        <w:rPr>
          <w:rFonts w:hint="eastAsia"/>
          <w:lang w:val="en-US" w:eastAsia="zh-CN"/>
        </w:rPr>
      </w:pPr>
      <w:r>
        <w:rPr>
          <w:rFonts w:hint="eastAsia" w:ascii="黑体" w:hAnsi="黑体" w:eastAsia="黑体" w:cs="黑体"/>
          <w:lang w:val="en-US" w:eastAsia="zh-CN"/>
        </w:rPr>
        <w:t>第八条</w:t>
      </w:r>
      <w:r>
        <w:rPr>
          <w:rFonts w:hint="eastAsia"/>
          <w:lang w:val="en-US" w:eastAsia="zh-CN"/>
        </w:rPr>
        <w:t>　小水电建设项目可行性研究报告（项目申请报告）报发展改革部门按照规定权限进行审批（核准）。</w:t>
      </w:r>
    </w:p>
    <w:p>
      <w:pPr>
        <w:pStyle w:val="2"/>
        <w:spacing w:line="240" w:lineRule="auto"/>
        <w:rPr>
          <w:rFonts w:hint="eastAsia"/>
          <w:lang w:val="en-US" w:eastAsia="zh-CN"/>
        </w:rPr>
      </w:pPr>
      <w:r>
        <w:rPr>
          <w:rFonts w:hint="eastAsia" w:ascii="黑体" w:hAnsi="黑体" w:eastAsia="黑体" w:cs="黑体"/>
          <w:lang w:val="en-US" w:eastAsia="zh-CN"/>
        </w:rPr>
        <w:t>第九条</w:t>
      </w:r>
      <w:r>
        <w:rPr>
          <w:rFonts w:hint="eastAsia"/>
          <w:lang w:val="en-US" w:eastAsia="zh-CN"/>
        </w:rPr>
        <w:t>　小水电建设项目初步设计报告按照下列规定审批：</w:t>
      </w:r>
    </w:p>
    <w:p>
      <w:pPr>
        <w:pStyle w:val="2"/>
        <w:spacing w:line="240" w:lineRule="auto"/>
        <w:rPr>
          <w:rFonts w:hint="eastAsia"/>
          <w:lang w:val="en-US" w:eastAsia="zh-CN"/>
        </w:rPr>
      </w:pPr>
      <w:r>
        <w:rPr>
          <w:rFonts w:hint="eastAsia"/>
          <w:lang w:val="en-US" w:eastAsia="zh-CN"/>
        </w:rPr>
        <w:t>（一）装机1000千瓦以下（不含1000千瓦）的，由县级人民政府水行政主管部门审批，报地级以上市及省人民政府水行政主管部门备案。</w:t>
      </w:r>
    </w:p>
    <w:p>
      <w:pPr>
        <w:pStyle w:val="2"/>
        <w:spacing w:line="240" w:lineRule="auto"/>
        <w:rPr>
          <w:rFonts w:hint="eastAsia"/>
          <w:lang w:val="en-US" w:eastAsia="zh-CN"/>
        </w:rPr>
      </w:pPr>
      <w:r>
        <w:rPr>
          <w:rFonts w:hint="eastAsia"/>
          <w:lang w:val="en-US" w:eastAsia="zh-CN"/>
        </w:rPr>
        <w:t>（二）装机1000千瓦以上2000千瓦以下（不含2000千瓦）的，由地级以上市人民政府水行政主管部门审批，报省人民政府水行政主管部门备案。</w:t>
      </w:r>
    </w:p>
    <w:p>
      <w:pPr>
        <w:pStyle w:val="2"/>
        <w:spacing w:line="240" w:lineRule="auto"/>
        <w:rPr>
          <w:rFonts w:hint="eastAsia"/>
          <w:lang w:val="en-US" w:eastAsia="zh-CN"/>
        </w:rPr>
      </w:pPr>
      <w:r>
        <w:rPr>
          <w:rFonts w:hint="eastAsia"/>
          <w:lang w:val="en-US" w:eastAsia="zh-CN"/>
        </w:rPr>
        <w:t>（三）装机2000千瓦以上的，由省人民政府水行政主管部门审批。</w:t>
      </w:r>
    </w:p>
    <w:p>
      <w:pPr>
        <w:pStyle w:val="2"/>
        <w:spacing w:line="240" w:lineRule="auto"/>
        <w:rPr>
          <w:rFonts w:hint="eastAsia"/>
          <w:lang w:val="en-US" w:eastAsia="zh-CN"/>
        </w:rPr>
      </w:pPr>
      <w:r>
        <w:rPr>
          <w:rFonts w:hint="eastAsia"/>
          <w:lang w:val="en-US" w:eastAsia="zh-CN"/>
        </w:rPr>
        <w:t>小水电的技术改造项目按照新建小水电建设项目初步设计审批权限执行。</w:t>
      </w:r>
    </w:p>
    <w:p>
      <w:pPr>
        <w:pStyle w:val="2"/>
        <w:spacing w:line="240" w:lineRule="auto"/>
        <w:rPr>
          <w:rFonts w:hint="eastAsia"/>
          <w:lang w:val="en-US" w:eastAsia="zh-CN"/>
        </w:rPr>
      </w:pPr>
      <w:r>
        <w:rPr>
          <w:rFonts w:hint="eastAsia"/>
          <w:lang w:val="en-US" w:eastAsia="zh-CN"/>
        </w:rPr>
        <w:t>附属水库库容达到或者超过1000万立方米的小水电建设项目应当根据水库库容的大小，按照同等规模的水库项目进行初步设计审批。</w:t>
      </w:r>
    </w:p>
    <w:p>
      <w:pPr>
        <w:pStyle w:val="2"/>
        <w:spacing w:line="240" w:lineRule="auto"/>
        <w:rPr>
          <w:rFonts w:hint="eastAsia"/>
          <w:lang w:val="en-US" w:eastAsia="zh-CN"/>
        </w:rPr>
      </w:pPr>
      <w:r>
        <w:rPr>
          <w:rFonts w:hint="eastAsia" w:ascii="黑体" w:hAnsi="黑体" w:eastAsia="黑体" w:cs="黑体"/>
          <w:lang w:val="en-US" w:eastAsia="zh-CN"/>
        </w:rPr>
        <w:t>第十条</w:t>
      </w:r>
      <w:r>
        <w:rPr>
          <w:rFonts w:hint="eastAsia"/>
          <w:lang w:val="en-US" w:eastAsia="zh-CN"/>
        </w:rPr>
        <w:t>　小水电接入系统工程在可行性研究阶段，按照核准制的要求，由发展改革部门核准。</w:t>
      </w:r>
    </w:p>
    <w:p>
      <w:pPr>
        <w:pStyle w:val="2"/>
        <w:spacing w:line="240" w:lineRule="auto"/>
        <w:rPr>
          <w:rFonts w:hint="eastAsia"/>
          <w:lang w:val="en-US" w:eastAsia="zh-CN"/>
        </w:rPr>
      </w:pPr>
      <w:r>
        <w:rPr>
          <w:rFonts w:hint="eastAsia" w:ascii="黑体" w:hAnsi="黑体" w:eastAsia="黑体" w:cs="黑体"/>
          <w:lang w:val="en-US" w:eastAsia="zh-CN"/>
        </w:rPr>
        <w:t>第十一条</w:t>
      </w:r>
      <w:r>
        <w:rPr>
          <w:rFonts w:hint="eastAsia"/>
          <w:lang w:val="en-US" w:eastAsia="zh-CN"/>
        </w:rPr>
        <w:t>　已经审批（核准）的小水电项目，进行重大设计变更，应当按照规定报原项目初步设计审批部门审批（核准）。如改变工程项目建设任务或者综合利用的主次顺序、工程等级、主要水文参数和成果、建设场址、大坝坝型以及改变电站总装机容量超过10%的，项目应当重新立项，报有管辖权的部门审批（核准）。</w:t>
      </w:r>
    </w:p>
    <w:p>
      <w:pPr>
        <w:pStyle w:val="2"/>
        <w:spacing w:line="240" w:lineRule="auto"/>
        <w:rPr>
          <w:rFonts w:hint="eastAsia"/>
          <w:lang w:val="en-US" w:eastAsia="zh-CN"/>
        </w:rPr>
      </w:pPr>
      <w:r>
        <w:rPr>
          <w:rFonts w:hint="eastAsia" w:ascii="黑体" w:hAnsi="黑体" w:eastAsia="黑体" w:cs="黑体"/>
          <w:lang w:val="en-US" w:eastAsia="zh-CN"/>
        </w:rPr>
        <w:t>第十二条</w:t>
      </w:r>
      <w:r>
        <w:rPr>
          <w:rFonts w:hint="eastAsia"/>
          <w:lang w:val="en-US" w:eastAsia="zh-CN"/>
        </w:rPr>
        <w:t>　小水电建设项目应当严格执行建设程序，履行规定的审批（核准）手续，实行项目法人责任制、招标投标制、建设监理制、合同管理制。其勘测、设计、施工、监理应当由具有相应资质的单位承担，由县级以上人民政府水行政主管部门依法对工程质量进行监督管理。</w:t>
      </w:r>
    </w:p>
    <w:p>
      <w:pPr>
        <w:pStyle w:val="2"/>
        <w:spacing w:line="240" w:lineRule="auto"/>
        <w:rPr>
          <w:rFonts w:hint="eastAsia"/>
          <w:lang w:val="en-US" w:eastAsia="zh-CN"/>
        </w:rPr>
      </w:pPr>
      <w:r>
        <w:rPr>
          <w:rFonts w:hint="eastAsia" w:ascii="黑体" w:hAnsi="黑体" w:eastAsia="黑体" w:cs="黑体"/>
          <w:lang w:val="en-US" w:eastAsia="zh-CN"/>
        </w:rPr>
        <w:t>第十三条</w:t>
      </w:r>
      <w:r>
        <w:rPr>
          <w:rFonts w:hint="eastAsia"/>
          <w:lang w:val="en-US" w:eastAsia="zh-CN"/>
        </w:rPr>
        <w:t>　小水电建设项目，应当按照国家有关规定组织各类验收。未进行验收或者验收不合格的，不得进入下一阶段的施工或者投入使用。</w:t>
      </w:r>
    </w:p>
    <w:p>
      <w:pPr>
        <w:pStyle w:val="2"/>
        <w:spacing w:line="240" w:lineRule="auto"/>
        <w:rPr>
          <w:rFonts w:hint="eastAsia"/>
          <w:lang w:val="en-US" w:eastAsia="zh-CN"/>
        </w:rPr>
      </w:pPr>
      <w:r>
        <w:rPr>
          <w:rFonts w:hint="eastAsia" w:ascii="黑体" w:hAnsi="黑体" w:eastAsia="黑体" w:cs="黑体"/>
          <w:lang w:val="en-US" w:eastAsia="zh-CN"/>
        </w:rPr>
        <w:t>第十四条</w:t>
      </w:r>
      <w:r>
        <w:rPr>
          <w:rFonts w:hint="eastAsia"/>
          <w:lang w:val="en-US" w:eastAsia="zh-CN"/>
        </w:rPr>
        <w:t>　省人民政府水行政主管部门负责对全省小水电的现状进行调查评估，并编制小水电技术改造规划。</w:t>
      </w:r>
    </w:p>
    <w:p>
      <w:pPr>
        <w:pStyle w:val="2"/>
        <w:spacing w:line="240" w:lineRule="auto"/>
        <w:rPr>
          <w:rFonts w:hint="eastAsia"/>
          <w:lang w:val="en-US" w:eastAsia="zh-CN"/>
        </w:rPr>
      </w:pPr>
    </w:p>
    <w:p>
      <w:pPr>
        <w:pStyle w:val="2"/>
        <w:spacing w:line="240" w:lineRule="auto"/>
        <w:ind w:left="0" w:leftChars="0" w:firstLine="0" w:firstLineChars="0"/>
        <w:jc w:val="center"/>
        <w:rPr>
          <w:rFonts w:hint="eastAsia" w:ascii="黑体" w:hAnsi="黑体" w:eastAsia="黑体" w:cs="黑体"/>
          <w:lang w:val="en-US" w:eastAsia="zh-CN"/>
        </w:rPr>
      </w:pPr>
      <w:r>
        <w:rPr>
          <w:rFonts w:hint="eastAsia" w:ascii="黑体" w:hAnsi="黑体" w:eastAsia="黑体" w:cs="黑体"/>
          <w:lang w:val="en-US" w:eastAsia="zh-CN"/>
        </w:rPr>
        <w:t>第三章　安全生产管理</w:t>
      </w:r>
    </w:p>
    <w:p>
      <w:pPr>
        <w:pStyle w:val="2"/>
        <w:spacing w:line="240" w:lineRule="auto"/>
        <w:rPr>
          <w:rFonts w:hint="eastAsia"/>
          <w:lang w:val="en-US" w:eastAsia="zh-CN"/>
        </w:rPr>
      </w:pPr>
      <w:r>
        <w:rPr>
          <w:rFonts w:hint="eastAsia" w:ascii="黑体" w:hAnsi="黑体" w:eastAsia="黑体" w:cs="黑体"/>
          <w:lang w:val="en-US" w:eastAsia="zh-CN"/>
        </w:rPr>
        <w:t>第十五条</w:t>
      </w:r>
      <w:r>
        <w:rPr>
          <w:rFonts w:hint="eastAsia"/>
          <w:lang w:val="en-US" w:eastAsia="zh-CN"/>
        </w:rPr>
        <w:t>　小水电安全生产管理应当坚持安全第一、预防为主的方针，建立和健全各项规章制度，严格按照有关规定运行管理，接受安全生产管理部门、电力监管部门、水行政主管部门及其它有关部门的监督管理，确保安全生产。</w:t>
      </w:r>
    </w:p>
    <w:p>
      <w:pPr>
        <w:pStyle w:val="2"/>
        <w:spacing w:line="240" w:lineRule="auto"/>
        <w:rPr>
          <w:rFonts w:hint="eastAsia"/>
          <w:lang w:val="en-US" w:eastAsia="zh-CN"/>
        </w:rPr>
      </w:pPr>
      <w:r>
        <w:rPr>
          <w:rFonts w:hint="eastAsia"/>
          <w:lang w:val="en-US" w:eastAsia="zh-CN"/>
        </w:rPr>
        <w:t>小水电业主是小水电安全生产责任主体，应当强化应急管理，健全应急体系和责任制度，落实应急预案和防汛措施，加强应急培训和演练，提高应急能力和水平，确保人民生命财产安全和社会公共安全。</w:t>
      </w:r>
    </w:p>
    <w:p>
      <w:pPr>
        <w:pStyle w:val="2"/>
        <w:spacing w:line="240" w:lineRule="auto"/>
        <w:rPr>
          <w:rFonts w:hint="eastAsia"/>
          <w:lang w:val="en-US" w:eastAsia="zh-CN"/>
        </w:rPr>
      </w:pPr>
      <w:r>
        <w:rPr>
          <w:rFonts w:hint="eastAsia" w:ascii="黑体" w:hAnsi="黑体" w:eastAsia="黑体" w:cs="黑体"/>
          <w:lang w:val="en-US" w:eastAsia="zh-CN"/>
        </w:rPr>
        <w:t>第十六条</w:t>
      </w:r>
      <w:r>
        <w:rPr>
          <w:rFonts w:hint="eastAsia"/>
          <w:lang w:val="en-US" w:eastAsia="zh-CN"/>
        </w:rPr>
        <w:t>　单站装机2000千瓦以上的小水电站应当设置安全生产管理部门，配置专门安全管理人员。单站装机2000千瓦以下（不含2000千瓦）的小水电站应当设置安全生产管理岗位，配置专职安全管理员，或者由单位安全生产的负责人兼任。</w:t>
      </w:r>
    </w:p>
    <w:p>
      <w:pPr>
        <w:pStyle w:val="2"/>
        <w:spacing w:line="240" w:lineRule="auto"/>
        <w:rPr>
          <w:rFonts w:hint="eastAsia"/>
          <w:lang w:val="en-US" w:eastAsia="zh-CN"/>
        </w:rPr>
      </w:pPr>
      <w:r>
        <w:rPr>
          <w:rFonts w:hint="eastAsia" w:ascii="黑体" w:hAnsi="黑体" w:eastAsia="黑体" w:cs="黑体"/>
          <w:lang w:val="en-US" w:eastAsia="zh-CN"/>
        </w:rPr>
        <w:t>第十七条</w:t>
      </w:r>
      <w:r>
        <w:rPr>
          <w:rFonts w:hint="eastAsia"/>
          <w:lang w:val="en-US" w:eastAsia="zh-CN"/>
        </w:rPr>
        <w:t>　小水电站应当服从县级以上人民政府水行政主管部门和省流域管理机构对水资源的统一配置，确保经批准的满足生态和航运要求的最小下泄流量。</w:t>
      </w:r>
    </w:p>
    <w:p>
      <w:pPr>
        <w:pStyle w:val="2"/>
        <w:spacing w:line="240" w:lineRule="auto"/>
        <w:rPr>
          <w:rFonts w:hint="eastAsia"/>
          <w:lang w:val="en-US" w:eastAsia="zh-CN"/>
        </w:rPr>
      </w:pPr>
      <w:r>
        <w:rPr>
          <w:rFonts w:hint="eastAsia"/>
          <w:lang w:val="en-US" w:eastAsia="zh-CN"/>
        </w:rPr>
        <w:t>小水电站不得超设计标准运行。涉及上下游及左右岸他人利益的，应当征得相关利害关系人的同意。</w:t>
      </w:r>
    </w:p>
    <w:p>
      <w:pPr>
        <w:pStyle w:val="2"/>
        <w:spacing w:line="240" w:lineRule="auto"/>
        <w:rPr>
          <w:rFonts w:hint="eastAsia"/>
          <w:lang w:val="en-US" w:eastAsia="zh-CN"/>
        </w:rPr>
      </w:pPr>
      <w:r>
        <w:rPr>
          <w:rFonts w:hint="eastAsia" w:ascii="黑体" w:hAnsi="黑体" w:eastAsia="黑体" w:cs="黑体"/>
          <w:lang w:val="en-US" w:eastAsia="zh-CN"/>
        </w:rPr>
        <w:t>第十八条</w:t>
      </w:r>
      <w:r>
        <w:rPr>
          <w:rFonts w:hint="eastAsia"/>
          <w:lang w:val="en-US" w:eastAsia="zh-CN"/>
        </w:rPr>
        <w:t>　小水电站实行安全管理分类和定期检验制度。</w:t>
      </w:r>
    </w:p>
    <w:p>
      <w:pPr>
        <w:pStyle w:val="2"/>
        <w:spacing w:line="240" w:lineRule="auto"/>
        <w:rPr>
          <w:rFonts w:hint="eastAsia"/>
          <w:lang w:val="en-US" w:eastAsia="zh-CN"/>
        </w:rPr>
      </w:pPr>
      <w:r>
        <w:rPr>
          <w:rFonts w:hint="eastAsia"/>
          <w:lang w:val="en-US" w:eastAsia="zh-CN"/>
        </w:rPr>
        <w:t>小水电站应当按照国家有关规定对大坝、水闸、金属结构、压力容器、机电设备、消防设备和起重设备等，定期进行安全鉴定和检测。</w:t>
      </w:r>
    </w:p>
    <w:p>
      <w:pPr>
        <w:pStyle w:val="2"/>
        <w:spacing w:line="240" w:lineRule="auto"/>
        <w:rPr>
          <w:rFonts w:hint="eastAsia"/>
          <w:lang w:val="en-US" w:eastAsia="zh-CN"/>
        </w:rPr>
      </w:pPr>
      <w:r>
        <w:rPr>
          <w:rFonts w:hint="eastAsia"/>
          <w:lang w:val="en-US" w:eastAsia="zh-CN"/>
        </w:rPr>
        <w:t>已投产运行的小水电站遭遇特大洪水、强烈地震、重大事故或者出现影响安全的异常情况后，应当及时组织专门的安全鉴定。</w:t>
      </w:r>
    </w:p>
    <w:p>
      <w:pPr>
        <w:pStyle w:val="2"/>
        <w:spacing w:line="240" w:lineRule="auto"/>
        <w:rPr>
          <w:rFonts w:hint="eastAsia"/>
          <w:lang w:val="en-US" w:eastAsia="zh-CN"/>
        </w:rPr>
      </w:pPr>
      <w:r>
        <w:rPr>
          <w:rFonts w:hint="eastAsia" w:ascii="黑体" w:hAnsi="黑体" w:eastAsia="黑体" w:cs="黑体"/>
          <w:lang w:val="en-US" w:eastAsia="zh-CN"/>
        </w:rPr>
        <w:t>第十九条</w:t>
      </w:r>
      <w:r>
        <w:rPr>
          <w:rFonts w:hint="eastAsia"/>
          <w:lang w:val="en-US" w:eastAsia="zh-CN"/>
        </w:rPr>
        <w:t>　小水电站运行管理人员实行持证上岗制度。运行管理人员应当按照有关规定取得相关资格证书后，方可上岗作业。</w:t>
      </w:r>
    </w:p>
    <w:p>
      <w:pPr>
        <w:pStyle w:val="2"/>
        <w:spacing w:line="240" w:lineRule="auto"/>
        <w:rPr>
          <w:rFonts w:hint="eastAsia"/>
          <w:lang w:val="en-US" w:eastAsia="zh-CN"/>
        </w:rPr>
      </w:pPr>
      <w:r>
        <w:rPr>
          <w:rFonts w:hint="eastAsia" w:ascii="黑体" w:hAnsi="黑体" w:eastAsia="黑体" w:cs="黑体"/>
          <w:lang w:val="en-US" w:eastAsia="zh-CN"/>
        </w:rPr>
        <w:t>第二十条</w:t>
      </w:r>
      <w:r>
        <w:rPr>
          <w:rFonts w:hint="eastAsia"/>
          <w:lang w:val="en-US" w:eastAsia="zh-CN"/>
        </w:rPr>
        <w:t>　小水电站应当服从防汛抗旱部门的调度指挥，按照防汛要求，具备必要的通讯、交通条件，备足防汛物料、器材。防汛期间，各级防汛部门有权对出现险情或者存在安全隐患的小水电站采取应急措施。</w:t>
      </w:r>
    </w:p>
    <w:p>
      <w:pPr>
        <w:pStyle w:val="2"/>
        <w:spacing w:line="240" w:lineRule="auto"/>
        <w:rPr>
          <w:rFonts w:hint="eastAsia"/>
          <w:lang w:val="en-US" w:eastAsia="zh-CN"/>
        </w:rPr>
      </w:pPr>
      <w:r>
        <w:rPr>
          <w:rFonts w:hint="eastAsia" w:ascii="黑体" w:hAnsi="黑体" w:eastAsia="黑体" w:cs="黑体"/>
          <w:lang w:val="en-US" w:eastAsia="zh-CN"/>
        </w:rPr>
        <w:t>第二十一条</w:t>
      </w:r>
      <w:r>
        <w:rPr>
          <w:rFonts w:hint="eastAsia"/>
          <w:lang w:val="en-US" w:eastAsia="zh-CN"/>
        </w:rPr>
        <w:t>　小水电站按照国家及省有关规定达到报废条件的，由水行政主管部门按照规定权限批复后，予以报废。</w:t>
      </w:r>
    </w:p>
    <w:p>
      <w:pPr>
        <w:pStyle w:val="2"/>
        <w:spacing w:line="240" w:lineRule="auto"/>
        <w:rPr>
          <w:rFonts w:hint="eastAsia"/>
          <w:lang w:val="en-US" w:eastAsia="zh-CN"/>
        </w:rPr>
      </w:pPr>
      <w:r>
        <w:rPr>
          <w:rFonts w:hint="eastAsia"/>
          <w:lang w:val="en-US" w:eastAsia="zh-CN"/>
        </w:rPr>
        <w:t>对在通航河流上建有通航建筑物的小水电站进行报废批复，应当征求有关交通运输主管部门意见。</w:t>
      </w:r>
    </w:p>
    <w:p>
      <w:pPr>
        <w:pStyle w:val="2"/>
        <w:spacing w:line="240" w:lineRule="auto"/>
        <w:rPr>
          <w:rFonts w:hint="eastAsia"/>
          <w:lang w:val="en-US" w:eastAsia="zh-CN"/>
        </w:rPr>
      </w:pPr>
    </w:p>
    <w:p>
      <w:pPr>
        <w:pStyle w:val="2"/>
        <w:spacing w:line="240" w:lineRule="auto"/>
        <w:ind w:left="0" w:leftChars="0" w:firstLine="0" w:firstLineChars="0"/>
        <w:jc w:val="center"/>
        <w:rPr>
          <w:rFonts w:hint="eastAsia" w:ascii="黑体" w:hAnsi="黑体" w:eastAsia="黑体" w:cs="黑体"/>
          <w:lang w:val="en-US" w:eastAsia="zh-CN"/>
        </w:rPr>
      </w:pPr>
      <w:r>
        <w:rPr>
          <w:rFonts w:hint="eastAsia" w:ascii="黑体" w:hAnsi="黑体" w:eastAsia="黑体" w:cs="黑体"/>
          <w:lang w:val="en-US" w:eastAsia="zh-CN"/>
        </w:rPr>
        <w:t>第四章　生产经营及并网管理</w:t>
      </w:r>
    </w:p>
    <w:p>
      <w:pPr>
        <w:pStyle w:val="2"/>
        <w:spacing w:line="240" w:lineRule="auto"/>
        <w:rPr>
          <w:rFonts w:hint="eastAsia"/>
          <w:lang w:val="en-US" w:eastAsia="zh-CN"/>
        </w:rPr>
      </w:pPr>
    </w:p>
    <w:p>
      <w:pPr>
        <w:pStyle w:val="2"/>
        <w:spacing w:line="240" w:lineRule="auto"/>
        <w:rPr>
          <w:rFonts w:hint="eastAsia"/>
          <w:lang w:val="en-US" w:eastAsia="zh-CN"/>
        </w:rPr>
      </w:pPr>
      <w:r>
        <w:rPr>
          <w:rFonts w:hint="eastAsia" w:ascii="黑体" w:hAnsi="黑体" w:eastAsia="黑体" w:cs="黑体"/>
          <w:lang w:val="en-US" w:eastAsia="zh-CN"/>
        </w:rPr>
        <w:t>第二十二条</w:t>
      </w:r>
      <w:r>
        <w:rPr>
          <w:rFonts w:hint="eastAsia"/>
          <w:lang w:val="en-US" w:eastAsia="zh-CN"/>
        </w:rPr>
        <w:t>　小水电生产运行、上网发电应当具备法律、法规和国家标准、行业标准规定的条件，依法取得工商营业执照、取水许可证、电力业务许可证等有效证照。</w:t>
      </w:r>
    </w:p>
    <w:p>
      <w:pPr>
        <w:pStyle w:val="2"/>
        <w:spacing w:line="240" w:lineRule="auto"/>
        <w:rPr>
          <w:rFonts w:hint="eastAsia"/>
          <w:lang w:val="en-US" w:eastAsia="zh-CN"/>
        </w:rPr>
      </w:pPr>
      <w:r>
        <w:rPr>
          <w:rFonts w:hint="eastAsia"/>
          <w:lang w:val="en-US" w:eastAsia="zh-CN"/>
        </w:rPr>
        <w:t>未取得有效证照的小水电不得发电，电网企业不得允许其上网，不得收购其电量。</w:t>
      </w:r>
    </w:p>
    <w:p>
      <w:pPr>
        <w:pStyle w:val="2"/>
        <w:spacing w:line="240" w:lineRule="auto"/>
        <w:rPr>
          <w:rFonts w:hint="eastAsia"/>
          <w:lang w:val="en-US" w:eastAsia="zh-CN"/>
        </w:rPr>
      </w:pPr>
      <w:r>
        <w:rPr>
          <w:rFonts w:hint="eastAsia" w:ascii="黑体" w:hAnsi="黑体" w:eastAsia="黑体" w:cs="黑体"/>
          <w:lang w:val="en-US" w:eastAsia="zh-CN"/>
        </w:rPr>
        <w:t>第二十三条</w:t>
      </w:r>
      <w:r>
        <w:rPr>
          <w:rFonts w:hint="eastAsia"/>
          <w:lang w:val="en-US" w:eastAsia="zh-CN"/>
        </w:rPr>
        <w:t>　小水电站电量输出计量点应当在升压站外第一根杆装设，电网企业按照计费电度表电量支付电费，电网企业不得向小水电站分摊电网线损费用。对已按照协议以产权分界点为计量点的电站，不得再另收取线损费。</w:t>
      </w:r>
    </w:p>
    <w:p>
      <w:pPr>
        <w:pStyle w:val="2"/>
        <w:spacing w:line="240" w:lineRule="auto"/>
        <w:rPr>
          <w:rFonts w:hint="eastAsia"/>
          <w:lang w:val="en-US" w:eastAsia="zh-CN"/>
        </w:rPr>
      </w:pPr>
      <w:r>
        <w:rPr>
          <w:rFonts w:hint="eastAsia"/>
          <w:lang w:val="en-US" w:eastAsia="zh-CN"/>
        </w:rPr>
        <w:t>对原有计量点设置不符合前款规定的电站，应当制定调整计划，逐步按照前款规定实施。</w:t>
      </w:r>
    </w:p>
    <w:p>
      <w:pPr>
        <w:pStyle w:val="2"/>
        <w:spacing w:line="240" w:lineRule="auto"/>
        <w:rPr>
          <w:rFonts w:hint="eastAsia"/>
          <w:lang w:val="en-US" w:eastAsia="zh-CN"/>
        </w:rPr>
      </w:pPr>
      <w:r>
        <w:rPr>
          <w:rFonts w:hint="eastAsia" w:ascii="黑体" w:hAnsi="黑体" w:eastAsia="黑体" w:cs="黑体"/>
          <w:lang w:val="en-US" w:eastAsia="zh-CN"/>
        </w:rPr>
        <w:t>第二十四条</w:t>
      </w:r>
      <w:r>
        <w:rPr>
          <w:rFonts w:hint="eastAsia"/>
          <w:lang w:val="en-US" w:eastAsia="zh-CN"/>
        </w:rPr>
        <w:t>　小水电上网电价实行最低保护价政策，逐步实现同网同价。</w:t>
      </w:r>
    </w:p>
    <w:p>
      <w:pPr>
        <w:pStyle w:val="2"/>
        <w:spacing w:line="240" w:lineRule="auto"/>
        <w:rPr>
          <w:rFonts w:hint="eastAsia"/>
          <w:lang w:val="en-US" w:eastAsia="zh-CN"/>
        </w:rPr>
      </w:pPr>
      <w:r>
        <w:rPr>
          <w:rFonts w:hint="eastAsia"/>
          <w:lang w:val="en-US" w:eastAsia="zh-CN"/>
        </w:rPr>
        <w:t>省人民政府价格主管部门会同省人民政府水行政主管部门、电力监管机构对小水电上网价格执行情况进行监督。</w:t>
      </w:r>
    </w:p>
    <w:p>
      <w:pPr>
        <w:pStyle w:val="2"/>
        <w:spacing w:line="240" w:lineRule="auto"/>
        <w:rPr>
          <w:rFonts w:hint="eastAsia"/>
          <w:lang w:val="en-US" w:eastAsia="zh-CN"/>
        </w:rPr>
      </w:pPr>
      <w:r>
        <w:rPr>
          <w:rFonts w:hint="eastAsia" w:ascii="黑体" w:hAnsi="黑体" w:eastAsia="黑体" w:cs="黑体"/>
          <w:lang w:val="en-US" w:eastAsia="zh-CN"/>
        </w:rPr>
        <w:t>第二十五条</w:t>
      </w:r>
      <w:r>
        <w:rPr>
          <w:rFonts w:hint="eastAsia"/>
          <w:lang w:val="en-US" w:eastAsia="zh-CN"/>
        </w:rPr>
        <w:t>　电网企业应当依法全额收购小水电上网电量。电网企业应当按照国家核定的可再生能源发电上网电价、补贴标准和购售电合同，及时足额结算电费和补贴。电费结算有关事项应当在购售电合同中予以约定。</w:t>
      </w:r>
    </w:p>
    <w:p>
      <w:pPr>
        <w:pStyle w:val="2"/>
        <w:spacing w:line="240" w:lineRule="auto"/>
        <w:rPr>
          <w:rFonts w:hint="eastAsia"/>
          <w:lang w:val="en-US" w:eastAsia="zh-CN"/>
        </w:rPr>
      </w:pPr>
      <w:r>
        <w:rPr>
          <w:rFonts w:hint="eastAsia"/>
          <w:lang w:val="en-US" w:eastAsia="zh-CN"/>
        </w:rPr>
        <w:t>电网企业因故未能按照约定的期限付清上网电费，应当依合同约定支付违约金，并对未能全额上网的持续时间、估计电量、具体原因和改进措施向小水电披露。</w:t>
      </w:r>
    </w:p>
    <w:p>
      <w:pPr>
        <w:pStyle w:val="2"/>
        <w:spacing w:line="240" w:lineRule="auto"/>
        <w:rPr>
          <w:rFonts w:hint="eastAsia"/>
          <w:lang w:val="en-US" w:eastAsia="zh-CN"/>
        </w:rPr>
      </w:pPr>
      <w:r>
        <w:rPr>
          <w:rFonts w:hint="eastAsia" w:ascii="黑体" w:hAnsi="黑体" w:eastAsia="黑体" w:cs="黑体"/>
          <w:lang w:val="en-US" w:eastAsia="zh-CN"/>
        </w:rPr>
        <w:t>第二十六条</w:t>
      </w:r>
      <w:r>
        <w:rPr>
          <w:rFonts w:hint="eastAsia"/>
          <w:lang w:val="en-US" w:eastAsia="zh-CN"/>
        </w:rPr>
        <w:t>　小水电站应当将设计报告等基础资料提供给电网企业。并网运行的小水电应当服从电网调度，遵守调度规程等相关规定，执行调度命令。</w:t>
      </w:r>
    </w:p>
    <w:p>
      <w:pPr>
        <w:pStyle w:val="2"/>
        <w:spacing w:line="240" w:lineRule="auto"/>
        <w:rPr>
          <w:rFonts w:hint="eastAsia"/>
          <w:lang w:val="en-US" w:eastAsia="zh-CN"/>
        </w:rPr>
      </w:pPr>
      <w:r>
        <w:rPr>
          <w:rFonts w:hint="eastAsia" w:ascii="黑体" w:hAnsi="黑体" w:eastAsia="黑体" w:cs="黑体"/>
          <w:lang w:val="en-US" w:eastAsia="zh-CN"/>
        </w:rPr>
        <w:t>第二十七条</w:t>
      </w:r>
      <w:r>
        <w:rPr>
          <w:rFonts w:hint="eastAsia"/>
          <w:lang w:val="en-US" w:eastAsia="zh-CN"/>
        </w:rPr>
        <w:t>　小水电站的上网电量与电网企业供给水电站的电量实行分别计算、分别确认、分别按照价格主管部门批复的电价结算，并按照税法有关规定缴纳税款。</w:t>
      </w:r>
    </w:p>
    <w:p>
      <w:pPr>
        <w:pStyle w:val="2"/>
        <w:spacing w:line="240" w:lineRule="auto"/>
        <w:rPr>
          <w:rFonts w:hint="eastAsia"/>
          <w:lang w:val="en-US" w:eastAsia="zh-CN"/>
        </w:rPr>
      </w:pPr>
    </w:p>
    <w:p>
      <w:pPr>
        <w:pStyle w:val="2"/>
        <w:spacing w:line="240" w:lineRule="auto"/>
        <w:ind w:left="0" w:leftChars="0" w:firstLine="0" w:firstLineChars="0"/>
        <w:jc w:val="center"/>
        <w:rPr>
          <w:rFonts w:hint="eastAsia" w:ascii="黑体" w:hAnsi="黑体" w:eastAsia="黑体" w:cs="黑体"/>
          <w:lang w:val="en-US" w:eastAsia="zh-CN"/>
        </w:rPr>
      </w:pPr>
      <w:r>
        <w:rPr>
          <w:rFonts w:hint="eastAsia" w:ascii="黑体" w:hAnsi="黑体" w:eastAsia="黑体" w:cs="黑体"/>
          <w:lang w:val="en-US" w:eastAsia="zh-CN"/>
        </w:rPr>
        <w:t>第五章　法律责任</w:t>
      </w:r>
    </w:p>
    <w:p>
      <w:pPr>
        <w:pStyle w:val="2"/>
        <w:spacing w:line="240" w:lineRule="auto"/>
        <w:rPr>
          <w:rFonts w:hint="eastAsia"/>
          <w:lang w:val="en-US" w:eastAsia="zh-CN"/>
        </w:rPr>
      </w:pPr>
      <w:r>
        <w:rPr>
          <w:rFonts w:hint="eastAsia" w:ascii="黑体" w:hAnsi="黑体" w:eastAsia="黑体" w:cs="黑体"/>
          <w:lang w:val="en-US" w:eastAsia="zh-CN"/>
        </w:rPr>
        <w:t>第二十八条</w:t>
      </w:r>
      <w:r>
        <w:rPr>
          <w:rFonts w:hint="eastAsia"/>
          <w:lang w:val="en-US" w:eastAsia="zh-CN"/>
        </w:rPr>
        <w:t>　小水电站违反经批准的最小下泄流量或者超标准运行的，由县级以上人民政府水行政主管部门责令其改正，并处10000元以上30000元以下罚款。</w:t>
      </w:r>
    </w:p>
    <w:p>
      <w:pPr>
        <w:pStyle w:val="2"/>
        <w:spacing w:line="240" w:lineRule="auto"/>
        <w:rPr>
          <w:rFonts w:hint="eastAsia"/>
          <w:lang w:val="en-US" w:eastAsia="zh-CN"/>
        </w:rPr>
      </w:pPr>
      <w:r>
        <w:rPr>
          <w:rFonts w:hint="eastAsia" w:ascii="黑体" w:hAnsi="黑体" w:eastAsia="黑体" w:cs="黑体"/>
          <w:lang w:val="en-US" w:eastAsia="zh-CN"/>
        </w:rPr>
        <w:t>第二十九条</w:t>
      </w:r>
      <w:r>
        <w:rPr>
          <w:rFonts w:hint="eastAsia"/>
          <w:lang w:val="en-US" w:eastAsia="zh-CN"/>
        </w:rPr>
        <w:t>　对定期检验及安全检查中发现有安全隐患的小水电站，由县级以上人民政府水行政主管部门责令限期整改；定期检验发现存在严重安全隐患的，应当立即腾空库容，停止发电；整改后仍不合格或者拒不接受整改的小水电站，不得蓄水和发电，并处10000元以上30000元以下罚款。</w:t>
      </w:r>
    </w:p>
    <w:p>
      <w:pPr>
        <w:pStyle w:val="2"/>
        <w:spacing w:line="240" w:lineRule="auto"/>
        <w:rPr>
          <w:rFonts w:hint="eastAsia"/>
          <w:lang w:val="en-US" w:eastAsia="zh-CN"/>
        </w:rPr>
      </w:pPr>
      <w:r>
        <w:rPr>
          <w:rFonts w:hint="eastAsia" w:ascii="黑体" w:hAnsi="黑体" w:eastAsia="黑体" w:cs="黑体"/>
          <w:lang w:val="en-US" w:eastAsia="zh-CN"/>
        </w:rPr>
        <w:t>第三十条</w:t>
      </w:r>
      <w:r>
        <w:rPr>
          <w:rFonts w:hint="eastAsia"/>
          <w:lang w:val="en-US" w:eastAsia="zh-CN"/>
        </w:rPr>
        <w:t>　水行政主管部门、其他有关部门和小水电工程管理单位及其工作人员，玩忽职守、滥用职权或者徇私舞弊的，由其所在单位或者上级主管部门依法给予处分；构成犯罪的，依法追究刑事责任。</w:t>
      </w:r>
    </w:p>
    <w:p>
      <w:pPr>
        <w:pStyle w:val="2"/>
        <w:spacing w:line="240" w:lineRule="auto"/>
        <w:rPr>
          <w:rFonts w:hint="eastAsia"/>
          <w:lang w:val="en-US" w:eastAsia="zh-CN"/>
        </w:rPr>
      </w:pPr>
    </w:p>
    <w:p>
      <w:pPr>
        <w:pStyle w:val="2"/>
        <w:spacing w:line="240" w:lineRule="auto"/>
        <w:ind w:left="0" w:leftChars="0" w:firstLine="0" w:firstLineChars="0"/>
        <w:jc w:val="center"/>
        <w:rPr>
          <w:rFonts w:hint="eastAsia" w:ascii="黑体" w:hAnsi="黑体" w:eastAsia="黑体" w:cs="黑体"/>
          <w:lang w:val="en-US" w:eastAsia="zh-CN"/>
        </w:rPr>
      </w:pPr>
      <w:r>
        <w:rPr>
          <w:rFonts w:hint="eastAsia" w:ascii="黑体" w:hAnsi="黑体" w:eastAsia="黑体" w:cs="黑体"/>
          <w:lang w:val="en-US" w:eastAsia="zh-CN"/>
        </w:rPr>
        <w:t>第六章　附　则</w:t>
      </w:r>
    </w:p>
    <w:p>
      <w:pPr>
        <w:pStyle w:val="2"/>
        <w:spacing w:line="240" w:lineRule="auto"/>
        <w:rPr>
          <w:rFonts w:hint="eastAsia"/>
          <w:lang w:val="en-US" w:eastAsia="zh-CN"/>
        </w:rPr>
      </w:pPr>
    </w:p>
    <w:p>
      <w:pPr>
        <w:pStyle w:val="2"/>
        <w:spacing w:line="240" w:lineRule="auto"/>
        <w:rPr>
          <w:rFonts w:hint="eastAsia"/>
          <w:lang w:val="en-US" w:eastAsia="zh-CN"/>
        </w:rPr>
      </w:pPr>
      <w:r>
        <w:rPr>
          <w:rFonts w:hint="eastAsia" w:ascii="黑体" w:hAnsi="黑体" w:eastAsia="黑体" w:cs="黑体"/>
          <w:lang w:val="en-US" w:eastAsia="zh-CN"/>
        </w:rPr>
        <w:t>第三十一条</w:t>
      </w:r>
      <w:r>
        <w:rPr>
          <w:rFonts w:hint="eastAsia"/>
          <w:lang w:val="en-US" w:eastAsia="zh-CN"/>
        </w:rPr>
        <w:t>　本办法自2010年12月1日起实施。</w:t>
      </w:r>
    </w:p>
    <w:sectPr>
      <w:headerReference r:id="rId3" w:type="default"/>
      <w:footerReference r:id="rId4" w:type="default"/>
      <w:pgSz w:w="11906" w:h="16838"/>
      <w:pgMar w:top="1962" w:right="1474" w:bottom="1848" w:left="1587" w:header="851" w:footer="992" w:gutter="0"/>
      <w:pgNumType w:fmt="numberInDash"/>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3000509000000000000"/>
    <w:charset w:val="86"/>
    <w:family w:val="script"/>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Cambria">
    <w:panose1 w:val="02040503050406030204"/>
    <w:charset w:val="00"/>
    <w:family w:val="roman"/>
    <w:pitch w:val="default"/>
    <w:sig w:usb0="E00006FF" w:usb1="420024FF" w:usb2="02000000" w:usb3="00000000" w:csb0="2000019F"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ind w:left="4788" w:leftChars="2280" w:firstLine="6400" w:firstLineChars="2000"/>
      <w:rPr>
        <w:rFonts w:hint="eastAsia" w:eastAsia="仿宋"/>
        <w:sz w:val="32"/>
        <w:szCs w:val="48"/>
        <w:lang w:val="en-US" w:eastAsia="zh-CN"/>
      </w:rPr>
    </w:pPr>
    <w:r>
      <w:rPr>
        <w:sz w:val="32"/>
      </w:rPr>
      <mc:AlternateContent>
        <mc:Choice Requires="wps">
          <w:drawing>
            <wp:anchor distT="0" distB="0" distL="114300" distR="114300" simplePos="0" relativeHeight="251661312" behindDoc="0" locked="0" layoutInCell="1" allowOverlap="1">
              <wp:simplePos x="0" y="0"/>
              <wp:positionH relativeFrom="margin">
                <wp:align>outside</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6"/>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- 1 -</w:t>
                          </w:r>
                          <w:r>
                            <w:rPr>
                              <w:rFonts w:hint="eastAsia" w:ascii="宋体" w:hAnsi="宋体" w:eastAsia="宋体" w:cs="宋体"/>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eXtc4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Hl7XOMQIAAGEEAAAOAAAAAAAAAAEAIAAAAB8BAABkcnMvZTJvRG9jLnhtbFBLBQYA&#10;AAAABgAGAFkBAADCBQAAAAA=&#10;">
              <v:fill on="f" focussize="0,0"/>
              <v:stroke on="f" weight="0.5pt"/>
              <v:imagedata o:title=""/>
              <o:lock v:ext="edit" aspectratio="f"/>
              <v:textbox inset="0mm,0mm,0mm,0mm" style="mso-fit-shape-to-text:t;">
                <w:txbxContent>
                  <w:p>
                    <w:pPr>
                      <w:pStyle w:val="6"/>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- 1 -</w:t>
                    </w:r>
                    <w:r>
                      <w:rPr>
                        <w:rFonts w:hint="eastAsia" w:ascii="宋体" w:hAnsi="宋体" w:eastAsia="宋体" w:cs="宋体"/>
                        <w:sz w:val="28"/>
                        <w:szCs w:val="28"/>
                      </w:rPr>
                      <w:fldChar w:fldCharType="end"/>
                    </w:r>
                  </w:p>
                </w:txbxContent>
              </v:textbox>
            </v:shape>
          </w:pict>
        </mc:Fallback>
      </mc:AlternateContent>
    </w:r>
    <w:r>
      <w:rPr>
        <w:rFonts w:hint="eastAsia" w:eastAsia="仿宋"/>
        <w:sz w:val="32"/>
        <w:szCs w:val="48"/>
        <w:lang w:val="en-US" w:eastAsia="zh-CN"/>
      </w:rPr>
      <w:t xml:space="preserve">  </w:t>
    </w:r>
  </w:p>
  <w:p>
    <w:pPr>
      <w:pStyle w:val="7"/>
      <w:wordWrap w:val="0"/>
      <w:ind w:left="4788" w:leftChars="2280" w:firstLine="6400" w:firstLineChars="2000"/>
      <w:jc w:val="right"/>
      <w:rPr>
        <w:rFonts w:hint="eastAsia" w:ascii="宋体" w:hAnsi="宋体" w:eastAsia="宋体" w:cs="宋体"/>
        <w:b/>
        <w:bCs/>
        <w:color w:val="005192"/>
        <w:sz w:val="28"/>
        <w:szCs w:val="44"/>
        <w:lang w:val="en-US" w:eastAsia="zh-CN"/>
      </w:rPr>
    </w:pPr>
    <w:r>
      <w:rPr>
        <w:color w:val="FAFAFA"/>
        <w:sz w:val="32"/>
      </w:rPr>
      <mc:AlternateContent>
        <mc:Choice Requires="wps">
          <w:drawing>
            <wp:anchor distT="0" distB="0" distL="114300" distR="114300" simplePos="0" relativeHeight="251660288" behindDoc="0" locked="0" layoutInCell="1" allowOverlap="1">
              <wp:simplePos x="0" y="0"/>
              <wp:positionH relativeFrom="column">
                <wp:posOffset>0</wp:posOffset>
              </wp:positionH>
              <wp:positionV relativeFrom="paragraph">
                <wp:posOffset>74295</wp:posOffset>
              </wp:positionV>
              <wp:extent cx="5616575" cy="1905"/>
              <wp:effectExtent l="0" t="10795" r="3175" b="15875"/>
              <wp:wrapNone/>
              <wp:docPr id="5" name="直接连接符 5"/>
              <wp:cNvGraphicFramePr/>
              <a:graphic xmlns:a="http://schemas.openxmlformats.org/drawingml/2006/main">
                <a:graphicData uri="http://schemas.microsoft.com/office/word/2010/wordprocessingShape">
                  <wps:wsp>
                    <wps:cNvCnPr/>
                    <wps:spPr>
                      <a:xfrm>
                        <a:off x="0" y="0"/>
                        <a:ext cx="5616575" cy="1905"/>
                      </a:xfrm>
                      <a:prstGeom prst="line">
                        <a:avLst/>
                      </a:prstGeom>
                      <a:ln w="22225">
                        <a:solidFill>
                          <a:srgbClr val="00519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0pt;margin-top:5.85pt;height:0.15pt;width:442.25pt;z-index:251660288;mso-width-relative:page;mso-height-relative:page;" filled="f" stroked="t" coordsize="21600,21600" o:gfxdata="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">
              <v:fill on="f" focussize="0,0"/>
              <v:stroke weight="1.75pt" color="#005192 [3204]" miterlimit="8" joinstyle="miter"/>
              <v:imagedata o:title=""/>
              <o:lock v:ext="edit" aspectratio="f"/>
            </v:line>
          </w:pict>
        </mc:Fallback>
      </mc:AlternateContent>
    </w:r>
    <w:r>
      <w:rPr>
        <w:rFonts w:hint="eastAsia" w:eastAsia="仿宋"/>
        <w:color w:val="FAFAFA"/>
        <w:sz w:val="32"/>
        <w:szCs w:val="48"/>
        <w:lang w:val="en-US" w:eastAsia="zh-CN"/>
      </w:rPr>
      <w:t>X</w:t>
    </w:r>
    <w:r>
      <w:rPr>
        <w:rFonts w:hint="eastAsia" w:ascii="宋体" w:hAnsi="宋体" w:eastAsia="宋体" w:cs="宋体"/>
        <w:b/>
        <w:bCs/>
        <w:color w:val="005192"/>
        <w:sz w:val="28"/>
        <w:szCs w:val="44"/>
        <w:lang w:val="en-US" w:eastAsia="zh-CN"/>
      </w:rPr>
      <w:t xml:space="preserve">广东省人民政府发布     </w:t>
    </w:r>
  </w:p>
  <w:p>
    <w:pPr>
      <w:pStyle w:val="7"/>
      <w:wordWrap w:val="0"/>
      <w:ind w:left="4788" w:leftChars="2280" w:firstLine="5622" w:firstLineChars="2000"/>
      <w:jc w:val="right"/>
      <w:rPr>
        <w:rFonts w:hint="eastAsia" w:ascii="宋体" w:hAnsi="宋体" w:eastAsia="宋体" w:cs="宋体"/>
        <w:b/>
        <w:bCs/>
        <w:color w:val="005192"/>
        <w:sz w:val="28"/>
        <w:szCs w:val="44"/>
        <w:lang w:val="en-US" w:eastAsia="zh-CN"/>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keepNext w:val="0"/>
      <w:keepLines w:val="0"/>
      <w:pageBreakBefore w:val="0"/>
      <w:widowControl w:val="0"/>
      <w:kinsoku/>
      <w:wordWrap/>
      <w:overflowPunct/>
      <w:topLinePunct w:val="0"/>
      <w:autoSpaceDE/>
      <w:autoSpaceDN/>
      <w:bidi w:val="0"/>
      <w:adjustRightInd/>
      <w:snapToGrid w:val="0"/>
      <w:textAlignment w:val="center"/>
      <w:rPr>
        <w:rFonts w:hint="eastAsia" w:ascii="宋体" w:hAnsi="宋体" w:eastAsia="宋体" w:cs="宋体"/>
        <w:b/>
        <w:bCs/>
        <w:color w:val="005192"/>
        <w:sz w:val="32"/>
      </w:rPr>
    </w:pPr>
    <w:r>
      <w:rPr>
        <w:rFonts w:hint="eastAsia" w:ascii="宋体" w:hAnsi="宋体" w:eastAsia="宋体" w:cs="宋体"/>
        <w:b/>
        <w:bCs/>
        <w:color w:val="005192"/>
        <w:sz w:val="32"/>
      </w:rPr>
      <mc:AlternateContent>
        <mc:Choice Requires="wps">
          <w:drawing>
            <wp:anchor distT="0" distB="0" distL="114300" distR="114300" simplePos="0" relativeHeight="251659264" behindDoc="0" locked="0" layoutInCell="1" allowOverlap="1">
              <wp:simplePos x="0" y="0"/>
              <wp:positionH relativeFrom="column">
                <wp:posOffset>-3810</wp:posOffset>
              </wp:positionH>
              <wp:positionV relativeFrom="paragraph">
                <wp:posOffset>690245</wp:posOffset>
              </wp:positionV>
              <wp:extent cx="5620385" cy="0"/>
              <wp:effectExtent l="0" t="12700" r="18415" b="15875"/>
              <wp:wrapNone/>
              <wp:docPr id="4" name="直接连接符 4"/>
              <wp:cNvGraphicFramePr/>
              <a:graphic xmlns:a="http://schemas.openxmlformats.org/drawingml/2006/main">
                <a:graphicData uri="http://schemas.microsoft.com/office/word/2010/wordprocessingShape">
                  <wps:wsp>
                    <wps:cNvCnPr/>
                    <wps:spPr>
                      <a:xfrm>
                        <a:off x="4133850" y="864870"/>
                        <a:ext cx="5620385" cy="0"/>
                      </a:xfrm>
                      <a:prstGeom prst="line">
                        <a:avLst/>
                      </a:prstGeom>
                      <a:ln w="22225">
                        <a:solidFill>
                          <a:srgbClr val="00519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0.3pt;margin-top:54.35pt;height:0pt;width:442.55pt;z-index:251659264;mso-width-relative:page;mso-height-relative:page;" filled="f" stroked="t" coordsize="21600,21600" o:gfxdata="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">
              <v:fill on="f" focussize="0,0"/>
              <v:stroke weight="1.75pt" color="#005192 [3204]" miterlimit="8" joinstyle="miter"/>
              <v:imagedata o:title=""/>
              <o:lock v:ext="edit" aspectratio="f"/>
            </v:line>
          </w:pict>
        </mc:Fallback>
      </mc:AlternateContent>
    </w:r>
  </w:p>
  <w:p>
    <w:pPr>
      <w:pStyle w:val="7"/>
      <w:keepNext w:val="0"/>
      <w:keepLines w:val="0"/>
      <w:pageBreakBefore w:val="0"/>
      <w:widowControl w:val="0"/>
      <w:kinsoku/>
      <w:wordWrap/>
      <w:overflowPunct/>
      <w:topLinePunct w:val="0"/>
      <w:autoSpaceDE/>
      <w:autoSpaceDN/>
      <w:bidi w:val="0"/>
      <w:adjustRightInd/>
      <w:snapToGrid w:val="0"/>
      <w:textAlignment w:val="center"/>
      <w:rPr>
        <w:rFonts w:hint="eastAsia" w:ascii="宋体" w:hAnsi="宋体" w:eastAsia="宋体" w:cs="宋体"/>
        <w:b/>
        <w:bCs/>
        <w:color w:val="005192"/>
        <w:sz w:val="32"/>
        <w:szCs w:val="32"/>
        <w:lang w:val="en-US" w:eastAsia="zh-CN"/>
      </w:rPr>
    </w:pPr>
    <w:r>
      <w:rPr>
        <w:rFonts w:hint="eastAsia" w:ascii="宋体" w:hAnsi="宋体" w:eastAsia="宋体" w:cs="宋体"/>
        <w:b/>
        <w:bCs/>
        <w:color w:val="005192"/>
        <w:sz w:val="32"/>
      </w:rPr>
      <w:drawing>
        <wp:inline distT="0" distB="0" distL="114300" distR="114300">
          <wp:extent cx="308610" cy="308610"/>
          <wp:effectExtent l="0" t="0" r="11430" b="11430"/>
          <wp:docPr id="6" name="图片 6" descr="国徽10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国徽1024"/>
                  <pic:cNvPicPr>
                    <a:picLocks noChangeAspect="1"/>
                  </pic:cNvPicPr>
                </pic:nvPicPr>
                <pic:blipFill>
                  <a:blip r:embed="rId1"/>
                  <a:stretch>
                    <a:fillRect/>
                  </a:stretch>
                </pic:blipFill>
                <pic:spPr>
                  <a:xfrm>
                    <a:off x="0" y="0"/>
                    <a:ext cx="308610" cy="308610"/>
                  </a:xfrm>
                  <a:prstGeom prst="rect">
                    <a:avLst/>
                  </a:prstGeom>
                </pic:spPr>
              </pic:pic>
            </a:graphicData>
          </a:graphic>
        </wp:inline>
      </w:drawing>
    </w:r>
    <w:r>
      <w:rPr>
        <w:rFonts w:hint="eastAsia" w:ascii="宋体" w:hAnsi="宋体" w:eastAsia="宋体" w:cs="宋体"/>
        <w:b/>
        <w:bCs/>
        <w:color w:val="005192"/>
        <w:sz w:val="32"/>
        <w:szCs w:val="32"/>
        <w:lang w:val="en-US" w:eastAsia="zh-CN"/>
      </w:rPr>
      <w:t>广东省人民政府规章</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trackRevisions w:val="1"/>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mY5MjFlZTA4YWQzODNhNjgxNGE3MWU0MWFjMmQ2MjEifQ=="/>
  </w:docVars>
  <w:rsids>
    <w:rsidRoot w:val="00172A27"/>
    <w:rsid w:val="019E71BD"/>
    <w:rsid w:val="04B679C3"/>
    <w:rsid w:val="080F63D8"/>
    <w:rsid w:val="09341458"/>
    <w:rsid w:val="0B0912D7"/>
    <w:rsid w:val="0C850999"/>
    <w:rsid w:val="0E487641"/>
    <w:rsid w:val="0EBE3B42"/>
    <w:rsid w:val="152D2DCA"/>
    <w:rsid w:val="167E367B"/>
    <w:rsid w:val="19C57EEB"/>
    <w:rsid w:val="1A6A2AAE"/>
    <w:rsid w:val="1B2A150D"/>
    <w:rsid w:val="1C4C3FC3"/>
    <w:rsid w:val="1DEC284C"/>
    <w:rsid w:val="1E6523AC"/>
    <w:rsid w:val="22440422"/>
    <w:rsid w:val="292E6AA8"/>
    <w:rsid w:val="31A15F24"/>
    <w:rsid w:val="38724BB6"/>
    <w:rsid w:val="395347B5"/>
    <w:rsid w:val="39A232A0"/>
    <w:rsid w:val="39E745AA"/>
    <w:rsid w:val="3B5A6BBB"/>
    <w:rsid w:val="3C494EE9"/>
    <w:rsid w:val="3D2F165C"/>
    <w:rsid w:val="3EDA13A6"/>
    <w:rsid w:val="414C6BCF"/>
    <w:rsid w:val="42310CF0"/>
    <w:rsid w:val="42F058B7"/>
    <w:rsid w:val="436109F6"/>
    <w:rsid w:val="441A38D4"/>
    <w:rsid w:val="44B6280B"/>
    <w:rsid w:val="47CC64FF"/>
    <w:rsid w:val="4A410E1F"/>
    <w:rsid w:val="4B8A410B"/>
    <w:rsid w:val="4BC77339"/>
    <w:rsid w:val="4C9236C5"/>
    <w:rsid w:val="4ECF359B"/>
    <w:rsid w:val="505C172E"/>
    <w:rsid w:val="522829F9"/>
    <w:rsid w:val="52F46F0B"/>
    <w:rsid w:val="53D8014D"/>
    <w:rsid w:val="55BE129E"/>
    <w:rsid w:val="55E064E0"/>
    <w:rsid w:val="572C6D10"/>
    <w:rsid w:val="5DC34279"/>
    <w:rsid w:val="5F230190"/>
    <w:rsid w:val="608816D1"/>
    <w:rsid w:val="60EF4E7F"/>
    <w:rsid w:val="62887FEF"/>
    <w:rsid w:val="65B462A4"/>
    <w:rsid w:val="665233C1"/>
    <w:rsid w:val="69114E28"/>
    <w:rsid w:val="6AD9688B"/>
    <w:rsid w:val="6D0E3F22"/>
    <w:rsid w:val="6E0A5BA9"/>
    <w:rsid w:val="6E12030D"/>
    <w:rsid w:val="78185F32"/>
    <w:rsid w:val="7B9A30AB"/>
    <w:rsid w:val="7C9011D9"/>
    <w:rsid w:val="7DC651C5"/>
    <w:rsid w:val="7FB74D06"/>
    <w:rsid w:val="7FCC2834"/>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1"/>
    <w:basedOn w:val="1"/>
    <w:next w:val="1"/>
    <w:qFormat/>
    <w:uiPriority w:val="9"/>
    <w:pPr>
      <w:spacing w:line="478" w:lineRule="exact"/>
      <w:jc w:val="center"/>
      <w:outlineLvl w:val="0"/>
    </w:pPr>
    <w:rPr>
      <w:rFonts w:hint="eastAsia" w:ascii="宋体" w:hAnsi="宋体" w:eastAsia="方正小标宋简体" w:cs="Times New Roman"/>
      <w:kern w:val="44"/>
      <w:sz w:val="40"/>
      <w:szCs w:val="48"/>
    </w:rPr>
  </w:style>
  <w:style w:type="paragraph" w:styleId="4">
    <w:name w:val="heading 2"/>
    <w:basedOn w:val="1"/>
    <w:next w:val="1"/>
    <w:unhideWhenUsed/>
    <w:qFormat/>
    <w:uiPriority w:val="0"/>
    <w:pPr>
      <w:keepNext/>
      <w:keepLines/>
      <w:spacing w:line="478" w:lineRule="exact"/>
      <w:outlineLvl w:val="1"/>
    </w:pPr>
    <w:rPr>
      <w:rFonts w:ascii="Arial" w:hAnsi="Arial" w:eastAsia="楷体_GB2312"/>
      <w:sz w:val="28"/>
      <w:szCs w:val="20"/>
    </w:rPr>
  </w:style>
  <w:style w:type="character" w:default="1" w:styleId="9">
    <w:name w:val="Default Paragraph Font"/>
    <w:link w:val="10"/>
    <w:semiHidden/>
    <w:qFormat/>
    <w:uiPriority w:val="0"/>
  </w:style>
  <w:style w:type="table" w:default="1" w:styleId="8">
    <w:name w:val="Normal Table"/>
    <w:autoRedefine/>
    <w:semiHidden/>
    <w:qFormat/>
    <w:uiPriority w:val="0"/>
    <w:tblPr>
      <w:tblCellMar>
        <w:top w:w="0" w:type="dxa"/>
        <w:left w:w="108" w:type="dxa"/>
        <w:bottom w:w="0" w:type="dxa"/>
        <w:right w:w="108" w:type="dxa"/>
      </w:tblCellMar>
    </w:tblPr>
  </w:style>
  <w:style w:type="paragraph" w:customStyle="1" w:styleId="2">
    <w:name w:val=" 正文"/>
    <w:autoRedefine/>
    <w:qFormat/>
    <w:uiPriority w:val="0"/>
    <w:pPr>
      <w:spacing w:line="555" w:lineRule="atLeast"/>
      <w:ind w:firstLine="623"/>
      <w:jc w:val="both"/>
      <w:textAlignment w:val="baseline"/>
    </w:pPr>
    <w:rPr>
      <w:rFonts w:ascii="Calibri" w:hAnsi="Calibri" w:eastAsia="仿宋_GB2312" w:cs="Times New Roman"/>
      <w:color w:val="000000"/>
      <w:sz w:val="31"/>
      <w:szCs w:val="22"/>
      <w:u w:val="none" w:color="000000"/>
      <w:lang w:val="en-US" w:eastAsia="zh-CN" w:bidi="ar-SA"/>
    </w:rPr>
  </w:style>
  <w:style w:type="paragraph" w:styleId="5">
    <w:name w:val="annotation text"/>
    <w:basedOn w:val="1"/>
    <w:qFormat/>
    <w:uiPriority w:val="0"/>
    <w:pPr>
      <w:jc w:val="left"/>
    </w:pPr>
  </w:style>
  <w:style w:type="paragraph" w:styleId="6">
    <w:name w:val="footer"/>
    <w:basedOn w:val="1"/>
    <w:autoRedefine/>
    <w:qFormat/>
    <w:uiPriority w:val="0"/>
    <w:pPr>
      <w:tabs>
        <w:tab w:val="center" w:pos="4153"/>
        <w:tab w:val="right" w:pos="8306"/>
      </w:tabs>
      <w:snapToGrid w:val="0"/>
      <w:jc w:val="left"/>
    </w:pPr>
    <w:rPr>
      <w:sz w:val="18"/>
    </w:rPr>
  </w:style>
  <w:style w:type="paragraph" w:styleId="7">
    <w:name w:val="header"/>
    <w:basedOn w:val="1"/>
    <w:autoRedefine/>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customStyle="1" w:styleId="10">
    <w:name w:val="Char Char Char Char Char Char Char Char Char Char Char Char"/>
    <w:basedOn w:val="11"/>
    <w:link w:val="9"/>
    <w:qFormat/>
    <w:uiPriority w:val="0"/>
    <w:pPr>
      <w:widowControl/>
      <w:spacing w:after="160" w:afterLines="0" w:line="240" w:lineRule="exact"/>
      <w:jc w:val="left"/>
    </w:pPr>
  </w:style>
  <w:style w:type="paragraph" w:customStyle="1" w:styleId="11">
    <w:name w:val="正文 New New"/>
    <w:autoRedefine/>
    <w:qFormat/>
    <w:uiPriority w:val="0"/>
    <w:pPr>
      <w:widowControl w:val="0"/>
      <w:jc w:val="both"/>
    </w:pPr>
    <w:rPr>
      <w:rFonts w:ascii="Times New Roman" w:hAnsi="Times New Roman" w:eastAsia="宋体" w:cs="Times New Roman"/>
      <w:kern w:val="2"/>
      <w:sz w:val="21"/>
      <w:szCs w:val="24"/>
      <w:lang w:val="en-US" w:eastAsia="zh-CN" w:bidi="ar-SA"/>
    </w:rPr>
  </w:style>
  <w:style w:type="character" w:styleId="12">
    <w:name w:val="Hyperlink"/>
    <w:basedOn w:val="9"/>
    <w:autoRedefine/>
    <w:unhideWhenUsed/>
    <w:qFormat/>
    <w:uiPriority w:val="0"/>
    <w:rPr>
      <w:color w:val="333333"/>
      <w:u w:val="none"/>
    </w:rPr>
  </w:style>
  <w:style w:type="paragraph" w:customStyle="1" w:styleId="13">
    <w:name w:val="省级二级标题"/>
    <w:basedOn w:val="4"/>
    <w:qFormat/>
    <w:uiPriority w:val="0"/>
    <w:pPr>
      <w:jc w:val="center"/>
    </w:pPr>
    <w:rPr>
      <w:rFonts w:ascii="Cambria" w:hAnsi="Cambria" w:eastAsia="黑体" w:cs="Times New Roman"/>
      <w:bCs/>
      <w:szCs w:val="32"/>
    </w:rPr>
  </w:style>
  <w:style w:type="character" w:customStyle="1" w:styleId="14">
    <w:name w:val="font_fulltext1"/>
    <w:qFormat/>
    <w:uiPriority w:val="0"/>
    <w:rPr>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22</Pages>
  <Words>8160</Words>
  <Characters>8179</Characters>
  <Lines>1</Lines>
  <Paragraphs>1</Paragraphs>
  <TotalTime>58</TotalTime>
  <ScaleCrop>false</ScaleCrop>
  <LinksUpToDate>false</LinksUpToDate>
  <CharactersWithSpaces>8243</CharactersWithSpaces>
  <Application>WPS Office_12.1.0.16120_F1E327BC-269C-435d-A152-05C5408002CA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2021-09-09T02:41:00Z</dcterms:created>
  <dc:creator>t</dc:creator>
  <cp:lastModifiedBy>风</cp:lastModifiedBy>
  <cp:lastPrinted>2021-10-26T03:30:00Z</cp:lastPrinted>
  <dcterms:modified xsi:type="dcterms:W3CDTF">2024-01-26T09:19:27Z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2052-12.1.0.16120</vt:lpwstr>
  </property>
  <property fmtid="{D5CDD505-2E9C-101B-9397-08002B2CF9AE}" pid="3" name="ICV">
    <vt:lpwstr>F7368716FC9D4D1D82C19FA95FC66E3E_13</vt:lpwstr>
  </property>
</Properties>
</file>